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55" w:rsidRDefault="00D95C55">
      <w:pPr>
        <w:autoSpaceDE/>
        <w:jc w:val="right"/>
        <w:rPr>
          <w:rFonts w:ascii="Arial" w:hAnsi="Arial" w:cs="Arial"/>
          <w:i/>
          <w:sz w:val="22"/>
        </w:rPr>
      </w:pPr>
    </w:p>
    <w:p w:rsidR="00D95C55" w:rsidRDefault="00D95C55">
      <w:pPr>
        <w:autoSpaceDE/>
        <w:jc w:val="right"/>
        <w:rPr>
          <w:rFonts w:ascii="Arial" w:hAnsi="Arial" w:cs="Arial"/>
          <w:b/>
          <w:bCs/>
          <w:i/>
          <w:sz w:val="22"/>
        </w:rPr>
      </w:pPr>
    </w:p>
    <w:p w:rsidR="00D95C55" w:rsidRDefault="00E904D3">
      <w:pPr>
        <w:pStyle w:val="Nagwek1"/>
      </w:pPr>
      <w:r>
        <w:rPr>
          <w:rFonts w:ascii="Arial" w:hAnsi="Arial" w:cs="Arial"/>
          <w:b/>
          <w:bCs/>
          <w:sz w:val="24"/>
        </w:rPr>
        <w:t>KARTA KURSU</w:t>
      </w:r>
    </w:p>
    <w:p w:rsidR="00D95C55" w:rsidRDefault="00D95C55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95C55" w:rsidRDefault="00D95C55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95C55" w:rsidRDefault="00D95C55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D95C55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Główne nurty filozofii współczesnej</w:t>
            </w:r>
          </w:p>
        </w:tc>
      </w:tr>
      <w:tr w:rsidR="00D95C55" w:rsidRPr="00286AE4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Pr="00E904D3" w:rsidRDefault="00E904D3">
            <w:pPr>
              <w:pStyle w:val="Zawartotabeli"/>
              <w:spacing w:before="60" w:after="60"/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Main currents of contemporary philosophy</w:t>
            </w:r>
          </w:p>
        </w:tc>
      </w:tr>
    </w:tbl>
    <w:p w:rsidR="00D95C55" w:rsidRDefault="00D95C55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D95C55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Pr="008C48C3" w:rsidRDefault="0072402B">
            <w:pPr>
              <w:pStyle w:val="Zawartotabeli"/>
              <w:spacing w:before="57" w:after="57"/>
              <w:jc w:val="center"/>
            </w:pPr>
            <w:r>
              <w:t>Dr Łukasz Kołoczek</w:t>
            </w:r>
          </w:p>
          <w:p w:rsidR="00D95C55" w:rsidRPr="008C48C3" w:rsidRDefault="00D95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95C55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72402B" w:rsidRDefault="0072402B" w:rsidP="0072402B">
            <w:pPr>
              <w:pStyle w:val="Zawartotabeli"/>
              <w:spacing w:before="57" w:after="57"/>
              <w:jc w:val="center"/>
            </w:pPr>
            <w:r>
              <w:t>Dr Łukasz Kołoczek</w:t>
            </w:r>
          </w:p>
          <w:p w:rsidR="00286AE4" w:rsidRPr="008C48C3" w:rsidRDefault="00286AE4" w:rsidP="0072402B">
            <w:pPr>
              <w:pStyle w:val="Zawartotabeli"/>
              <w:spacing w:before="57" w:after="57"/>
              <w:jc w:val="center"/>
            </w:pPr>
            <w:r>
              <w:t>Dr Paweł Wójs</w:t>
            </w:r>
          </w:p>
          <w:p w:rsidR="00CE3D1D" w:rsidRDefault="00CE3D1D">
            <w:pPr>
              <w:pStyle w:val="Zawartotabeli"/>
              <w:spacing w:before="57" w:after="57"/>
              <w:jc w:val="center"/>
            </w:pPr>
          </w:p>
        </w:tc>
      </w:tr>
      <w:tr w:rsidR="00D95C55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C55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5C55" w:rsidRDefault="00D95C55">
      <w:pPr>
        <w:jc w:val="center"/>
        <w:rPr>
          <w:rFonts w:ascii="Arial" w:hAnsi="Arial" w:cs="Arial"/>
          <w:sz w:val="20"/>
          <w:szCs w:val="20"/>
        </w:rPr>
      </w:pPr>
    </w:p>
    <w:p w:rsidR="00D95C55" w:rsidRDefault="00D95C55">
      <w:pPr>
        <w:jc w:val="center"/>
        <w:rPr>
          <w:rFonts w:ascii="Arial" w:hAnsi="Arial" w:cs="Arial"/>
          <w:sz w:val="20"/>
          <w:szCs w:val="20"/>
        </w:rPr>
      </w:pPr>
    </w:p>
    <w:p w:rsidR="00D95C55" w:rsidRDefault="00D95C55">
      <w:pPr>
        <w:jc w:val="center"/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16"/>
        </w:rPr>
        <w:t>Opis kursu (cele kształcenia)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D95C55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E904D3">
            <w:r>
              <w:rPr>
                <w:rFonts w:ascii="Arial" w:hAnsi="Arial" w:cs="Arial"/>
                <w:sz w:val="22"/>
                <w:szCs w:val="16"/>
              </w:rPr>
              <w:t>Zadaniem kursu jest zapoznanie studentów z najważniejszymi i wciąż żywymi nurtami filozofii współczesnej, ze szczególnym uwzględnieniem ich oddziaływania na doktryny i koncepcje socjologiczne. Ma to umożliwić pełniejsze zrozumienie genealogii i kontekstów występowania aktualnych kontrowersji doktrynalnych i sporów teoretycznych w socjologii oraz przygotować do ich samodzielnego interpretowania, a także wyciągania z nich teoretycznych i praktycznych wniosków .</w:t>
            </w: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16"/>
        </w:rPr>
        <w:t>Warunki wstępne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D95C55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D95C55" w:rsidRDefault="00E904D3">
            <w:pPr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 xml:space="preserve">Znajomość podstawowej problematyki filozoficznej, wyniesiona z wcześniejszego kursu „Główne zagadnienia filozofii” </w:t>
            </w:r>
          </w:p>
          <w:p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95C55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 xml:space="preserve">Umiejętność analizowania i porównywania różnych stanowisk w kluczowych kwestiach filozoficznych </w:t>
            </w:r>
          </w:p>
          <w:p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95C55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D95C55" w:rsidRDefault="00E904D3">
            <w:pPr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>„Główne zagadnienia filozofii”</w:t>
            </w:r>
          </w:p>
          <w:p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95C55" w:rsidRDefault="00D95C55">
      <w:pPr>
        <w:rPr>
          <w:rFonts w:ascii="Arial" w:hAnsi="Arial" w:cs="Arial"/>
          <w:sz w:val="22"/>
          <w:szCs w:val="14"/>
        </w:rPr>
      </w:pPr>
    </w:p>
    <w:p w:rsidR="00D95C55" w:rsidRDefault="00D95C55">
      <w:pPr>
        <w:rPr>
          <w:rFonts w:ascii="Arial" w:hAnsi="Arial" w:cs="Arial"/>
          <w:sz w:val="22"/>
          <w:szCs w:val="14"/>
        </w:rPr>
      </w:pPr>
    </w:p>
    <w:p w:rsidR="00D95C55" w:rsidRDefault="00D95C55">
      <w:pPr>
        <w:rPr>
          <w:rFonts w:ascii="Arial" w:hAnsi="Arial" w:cs="Arial"/>
          <w:sz w:val="22"/>
          <w:szCs w:val="14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16"/>
        </w:rPr>
        <w:t>Efekty uczenia się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D95C55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95C55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>W01, Zna podstawowe koncepcje i doktryny filozoficzne XIX i XX wieku</w:t>
            </w: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>W02, Rozumie genezę filozoficzną podstawowych koncepcji socjologicznych</w:t>
            </w: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W03, Zna teoretyczne i doktrynalne uwarunkowania współczesnych sporów w obrębie nauk społecznych  </w:t>
            </w:r>
          </w:p>
          <w:p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D95C55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95C55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U01, Umie rozpoznawać i identyfikować podstawowe idee współczesnej filozofii </w:t>
            </w: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U02, Potrafi zrozumieć, uchwycić i wskazać relacje między doktrynami filozoficznymi a koncepcjami teoretycznymi obecnymi w  naukach społecznych </w:t>
            </w: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>U03, Posługuje się sprawnie terminologią charakterystyczną dla współczesnej filozofii i paralelnej do niej myśli socjologicznej</w:t>
            </w:r>
          </w:p>
          <w:p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E904D3" w:rsidRDefault="00E904D3" w:rsidP="00E904D3"/>
          <w:p w:rsidR="00D95C55" w:rsidRDefault="00E904D3">
            <w:r>
              <w:t>K_U01</w:t>
            </w:r>
          </w:p>
          <w:p w:rsidR="00E904D3" w:rsidRDefault="00E904D3"/>
          <w:p w:rsidR="00E904D3" w:rsidRDefault="00E904D3">
            <w:r>
              <w:t>K_U01</w:t>
            </w:r>
          </w:p>
          <w:p w:rsidR="00E904D3" w:rsidRDefault="00E904D3"/>
          <w:p w:rsidR="00E904D3" w:rsidRDefault="00E904D3"/>
          <w:p w:rsidR="00E904D3" w:rsidRDefault="00E904D3">
            <w:r>
              <w:t>K_U04</w:t>
            </w: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D95C55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95C55">
        <w:trPr>
          <w:cantSplit/>
          <w:trHeight w:val="1984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>K01, Rozumie filozoficzne konteksty problematyki społecznej i ich teoretycznych analiz</w:t>
            </w: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>K02, Zdaje sobie sprawę z kontrowersji dotyczących zjawisk społecznych i rozumie ich filozoficzne podłoże</w:t>
            </w:r>
          </w:p>
          <w:p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K03, Umie samodzielnie ustosunkować się do problematyki społecznej i prowadzić dyskusję na ich temat </w:t>
            </w:r>
          </w:p>
          <w:p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D95C55" w:rsidP="00E90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04D3" w:rsidRDefault="00E904D3" w:rsidP="00E90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K_K04</w:t>
            </w: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95C55">
        <w:trPr>
          <w:cantSplit/>
          <w:trHeight w:hRule="exact"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1D7DE0">
              <w:rPr>
                <w:rFonts w:ascii="Arial" w:hAnsi="Arial" w:cs="Arial"/>
                <w:sz w:val="20"/>
                <w:szCs w:val="20"/>
              </w:rPr>
              <w:t xml:space="preserve"> – studia stacjonarne  </w:t>
            </w:r>
          </w:p>
        </w:tc>
      </w:tr>
      <w:tr w:rsidR="00D95C55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9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DE0" w:rsidRDefault="001D7DE0" w:rsidP="001D7DE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D7DE0" w:rsidTr="00B11421">
        <w:trPr>
          <w:cantSplit/>
          <w:trHeight w:hRule="exact"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1D7DE0" w:rsidTr="00B11421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D7DE0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E0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E0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DE0" w:rsidRDefault="001D7DE0" w:rsidP="001D7DE0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14"/>
        </w:rPr>
        <w:t>Opis metod prowadzenia zajęć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2"/>
      </w:tblGrid>
      <w:tr w:rsidR="00D95C55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14"/>
              </w:rPr>
            </w:pPr>
          </w:p>
          <w:p w:rsidR="00D95C55" w:rsidRDefault="00E904D3">
            <w:r>
              <w:rPr>
                <w:rFonts w:ascii="Arial" w:hAnsi="Arial" w:cs="Arial"/>
                <w:sz w:val="22"/>
                <w:szCs w:val="14"/>
              </w:rPr>
              <w:t xml:space="preserve">Prezentacja poszczególnych nurtów filozofii współczesnej odbywa się w formie systematycznego omówienia każdego z nich podczas wykładów, a następie studenci analizują kluczowe dla poszczególnych doktryn źródła i materiały z prowadzącym ćwiczenia oraz prowadzą pod jego kierunkiem dyskusje na ich temat. </w:t>
            </w:r>
          </w:p>
          <w:p w:rsidR="00D95C55" w:rsidRDefault="00D95C55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E904D3">
      <w:pPr>
        <w:pStyle w:val="Zawartotabeli"/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95C55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D95C55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95C55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Tekstdymka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D95C55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D95C55" w:rsidRDefault="00E904D3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>Dostateczny – student opanował w zadowalającym stopniu zakładane efekty kształcenia</w:t>
            </w:r>
          </w:p>
          <w:p w:rsidR="00D95C55" w:rsidRDefault="00E904D3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>Dobry – student wykazuje się pełną orientacją we wszystkich teoretycznych i sprawnością w praktycznych efektach kształcenia</w:t>
            </w:r>
          </w:p>
          <w:p w:rsidR="00D95C55" w:rsidRDefault="00E904D3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 xml:space="preserve">Bardzo dobry – student wykazuje się samodzielną i dojrzałą analizą oraz </w:t>
            </w:r>
            <w:r>
              <w:rPr>
                <w:rFonts w:ascii="Arial" w:hAnsi="Arial" w:cs="Arial"/>
                <w:sz w:val="22"/>
                <w:szCs w:val="16"/>
              </w:rPr>
              <w:lastRenderedPageBreak/>
              <w:t xml:space="preserve">umiejętnością argumentowania   </w:t>
            </w:r>
          </w:p>
          <w:p w:rsidR="00D95C55" w:rsidRDefault="00D95C5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D95C55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autoSpaceDE/>
              <w:spacing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D95C55" w:rsidRDefault="00E904D3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D95C55" w:rsidRDefault="00D95C5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22"/>
        </w:rPr>
        <w:t>Treści merytoryczne (wykaz tematów)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2"/>
      </w:tblGrid>
      <w:tr w:rsidR="00D95C55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Filozofia pozytywistyczna, jej aspekty i wymiary społeczne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 xml:space="preserve">Koło Wiedeńskie neopozytywizm, szkoła lwowsko-warszawska i jej osiągnięcia. Społeczne doktryny z kręgu neopozytywistycznego, „Społeczeństwo otwarte” i jego wpływ na myśl społeczną XX wieku  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 xml:space="preserve">Filozofia analityczna, filozofia języka, zwrot lingwistyczny we współczesnej filozofii i socjologii, etnolingwistyka i jej rola w naukach społecznych 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Heglizm, marksizm i ich wpływ na analizy procesów społecznych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Fenomenologia, jej rozwój i odmiany, etnometodologia jako socjologiczna paralela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Egzystencjalizm i jego społeczno-kulturowe oddziaływanie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Personalizm filozoficzny, jego odmiany, wpływ na myśl filozoficzno-etyczną Karola Wojtyły i chrześcijaństwo współczesne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Filozofia dialogu, jej wymiar etyczny i społeczny, rola Tischnera w jej kształtowaniu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 xml:space="preserve">Pragmatyzm, neopragmatyzm i ich wpływ na myśl społeczną, symboliczny interakcjonizm 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Filozofia życia i jej odmiany, wpływ na myśl społeczną, Simmel, Ortega y Gasset i in.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Postmodernizm, jego filozoficzne, kulturowe i estetyczne warianty, koncepcja płynnej nowoczesności i jej socjologiczne konteksty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Transhumanizm, jego odmiany i perspektywy</w:t>
            </w:r>
          </w:p>
          <w:p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Współczesne kontrowersje wokół ontologii bytu społecznego</w:t>
            </w: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22"/>
        </w:rPr>
        <w:t>Wykaz literatury podstawowej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2"/>
      </w:tblGrid>
      <w:tr w:rsidR="00D95C55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Tatarkiewicz W., </w:t>
            </w:r>
            <w:r>
              <w:rPr>
                <w:rFonts w:ascii="Arial" w:hAnsi="Arial" w:cs="Arial"/>
                <w:i/>
                <w:sz w:val="22"/>
                <w:szCs w:val="22"/>
              </w:rPr>
              <w:t>Historia filozofii</w:t>
            </w:r>
          </w:p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Gadacz T., </w:t>
            </w:r>
            <w:r>
              <w:rPr>
                <w:rFonts w:ascii="Arial" w:hAnsi="Arial" w:cs="Arial"/>
                <w:i/>
                <w:sz w:val="22"/>
                <w:szCs w:val="22"/>
              </w:rPr>
              <w:t>Historia filozofii XX w.</w:t>
            </w:r>
          </w:p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Gawor L., Stachowski Z. (red.), </w:t>
            </w:r>
            <w:r>
              <w:rPr>
                <w:rFonts w:ascii="Arial" w:hAnsi="Arial" w:cs="Arial"/>
                <w:i/>
                <w:sz w:val="22"/>
                <w:szCs w:val="22"/>
              </w:rPr>
              <w:t>Filozofia współczesna</w:t>
            </w:r>
          </w:p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Miś A., </w:t>
            </w:r>
            <w:r>
              <w:rPr>
                <w:rFonts w:ascii="Arial" w:hAnsi="Arial" w:cs="Arial"/>
                <w:i/>
                <w:sz w:val="22"/>
                <w:szCs w:val="22"/>
              </w:rPr>
              <w:t>Filozofia współczesna. Główne nurty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Opara S., </w:t>
            </w:r>
            <w:r>
              <w:rPr>
                <w:rFonts w:ascii="Arial" w:hAnsi="Arial" w:cs="Arial"/>
                <w:i/>
                <w:sz w:val="22"/>
                <w:szCs w:val="22"/>
              </w:rPr>
              <w:t>Wstęp do filozofii współczesnej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Schrade U., </w:t>
            </w:r>
            <w:r>
              <w:rPr>
                <w:rFonts w:ascii="Arial" w:hAnsi="Arial" w:cs="Arial"/>
                <w:i/>
                <w:sz w:val="22"/>
                <w:szCs w:val="22"/>
              </w:rPr>
              <w:t>Nurty filozofii współczesnej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>Siemek M.,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Wykłady z filozofii nowoczesności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Kuderowicz Z., (red.) </w:t>
            </w:r>
            <w:r>
              <w:rPr>
                <w:rFonts w:ascii="Arial" w:hAnsi="Arial" w:cs="Arial"/>
                <w:i/>
                <w:sz w:val="22"/>
                <w:szCs w:val="22"/>
              </w:rPr>
              <w:t>Filozofia współczesna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Antologia tekstów (udostępniona przez prowadzącego ćwiczenia):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Comte A.,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Rozprawa o duchu filozofii pozytywnej, </w:t>
            </w:r>
            <w:r>
              <w:rPr>
                <w:rFonts w:ascii="Arial" w:hAnsi="Arial" w:cs="Arial"/>
                <w:sz w:val="22"/>
                <w:szCs w:val="22"/>
              </w:rPr>
              <w:t>(fragmenty).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Nietzsche F.,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Tako rzecze Zaratustra, </w:t>
            </w:r>
            <w:r>
              <w:rPr>
                <w:rFonts w:ascii="Arial" w:hAnsi="Arial" w:cs="Arial"/>
                <w:sz w:val="22"/>
                <w:szCs w:val="22"/>
              </w:rPr>
              <w:t xml:space="preserve">rozdz. I: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Przedmowa Zaratustry o nadczłowieku i ostatnim człowieku.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Carnap R.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Filozofia i składnia logiczna, </w:t>
            </w:r>
            <w:r>
              <w:rPr>
                <w:rFonts w:ascii="Arial" w:hAnsi="Arial" w:cs="Arial"/>
                <w:sz w:val="22"/>
                <w:szCs w:val="22"/>
              </w:rPr>
              <w:t>cz. I i III.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Kuhn T.,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Struktura rewolucji naukowych, </w:t>
            </w:r>
            <w:r>
              <w:rPr>
                <w:rFonts w:ascii="Arial" w:hAnsi="Arial" w:cs="Arial"/>
                <w:sz w:val="22"/>
                <w:szCs w:val="22"/>
              </w:rPr>
              <w:t>(fragmenty).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Ingarden I.,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Człowiek i przyroda, </w:t>
            </w:r>
            <w:r>
              <w:rPr>
                <w:rFonts w:ascii="Arial" w:hAnsi="Arial" w:cs="Arial"/>
                <w:sz w:val="22"/>
                <w:szCs w:val="22"/>
              </w:rPr>
              <w:t xml:space="preserve">w: Tenże,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Książeczka o człowieku,</w:t>
            </w:r>
            <w:r>
              <w:rPr>
                <w:rFonts w:ascii="Arial" w:hAnsi="Arial" w:cs="Arial"/>
                <w:sz w:val="22"/>
                <w:szCs w:val="22"/>
              </w:rPr>
              <w:t xml:space="preserve"> Kraków 1987,s.13-18.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Freud Z.,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Kultura jako źródło cierpień. (fragmenty)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Sartre J-P.,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Egzystencjalizm jest humanizmem.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Buber M.,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Ja i ty, </w:t>
            </w:r>
            <w:r>
              <w:rPr>
                <w:rFonts w:ascii="Arial" w:hAnsi="Arial" w:cs="Arial"/>
                <w:sz w:val="22"/>
                <w:szCs w:val="22"/>
              </w:rPr>
              <w:t>Warszawa 1992, s. 39-48.</w:t>
            </w:r>
          </w:p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Rawls J.,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Teoria sprawiedliwości, </w:t>
            </w:r>
            <w:r>
              <w:rPr>
                <w:rFonts w:ascii="Arial" w:hAnsi="Arial" w:cs="Arial"/>
                <w:sz w:val="22"/>
                <w:szCs w:val="22"/>
              </w:rPr>
              <w:t>Warszawa, 2013, s. 208-216.</w:t>
            </w:r>
          </w:p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Rorty R,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Przygodniość, ironia i solidarność, </w:t>
            </w:r>
            <w:r>
              <w:rPr>
                <w:rFonts w:ascii="Arial" w:hAnsi="Arial" w:cs="Arial"/>
                <w:sz w:val="22"/>
                <w:szCs w:val="22"/>
              </w:rPr>
              <w:t>Warszawa 1996, s. 107-134.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16"/>
              </w:rPr>
              <w:lastRenderedPageBreak/>
              <w:t xml:space="preserve">Gadamer H-G.,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>Koło jako struktura rozumienia,</w:t>
            </w:r>
            <w:r>
              <w:rPr>
                <w:rFonts w:ascii="Arial" w:hAnsi="Arial" w:cs="Arial"/>
                <w:sz w:val="22"/>
                <w:szCs w:val="16"/>
              </w:rPr>
              <w:t xml:space="preserve"> w: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>Wokół rozumienia. Studia i szkice z hermeneutyki</w:t>
            </w:r>
            <w:r>
              <w:rPr>
                <w:rFonts w:ascii="Arial" w:hAnsi="Arial" w:cs="Arial"/>
                <w:sz w:val="22"/>
                <w:szCs w:val="16"/>
              </w:rPr>
              <w:t>, G. Sowinski (red.), Kraków 1993, s. 227–34.</w:t>
            </w:r>
            <w:r>
              <w:rPr>
                <w:rFonts w:ascii="Arial" w:hAnsi="Arial" w:cs="Arial"/>
                <w:sz w:val="22"/>
                <w:szCs w:val="16"/>
              </w:rPr>
              <w:br/>
              <w:t xml:space="preserve">Ortega y Gasset,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Bunt mas, </w:t>
            </w:r>
            <w:r>
              <w:rPr>
                <w:rFonts w:ascii="Arial" w:hAnsi="Arial" w:cs="Arial"/>
                <w:sz w:val="22"/>
                <w:szCs w:val="16"/>
              </w:rPr>
              <w:t>(fragmenty).</w:t>
            </w:r>
          </w:p>
          <w:p w:rsidR="00D95C55" w:rsidRDefault="00D95C55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E904D3">
      <w:r>
        <w:rPr>
          <w:rFonts w:ascii="Arial" w:hAnsi="Arial" w:cs="Arial"/>
          <w:sz w:val="22"/>
          <w:szCs w:val="16"/>
        </w:rPr>
        <w:t>Wykaz literatury uzupełniającej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2"/>
      </w:tblGrid>
      <w:tr w:rsidR="00D95C55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Hartman J. (red.) </w:t>
            </w:r>
            <w:r>
              <w:rPr>
                <w:rFonts w:ascii="Arial" w:hAnsi="Arial" w:cs="Arial"/>
                <w:i/>
                <w:sz w:val="22"/>
                <w:szCs w:val="22"/>
              </w:rPr>
              <w:t>Słownik filozofii</w:t>
            </w:r>
          </w:p>
          <w:p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Podsiad A., </w:t>
            </w:r>
            <w:r>
              <w:rPr>
                <w:rFonts w:ascii="Arial" w:hAnsi="Arial" w:cs="Arial"/>
                <w:i/>
                <w:sz w:val="22"/>
                <w:szCs w:val="22"/>
              </w:rPr>
              <w:t>Słownik terminów i pojęć filozoficznych</w:t>
            </w:r>
          </w:p>
          <w:p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Julia D., </w:t>
            </w:r>
            <w:r>
              <w:rPr>
                <w:rFonts w:ascii="Arial" w:hAnsi="Arial" w:cs="Arial"/>
                <w:i/>
                <w:sz w:val="22"/>
                <w:szCs w:val="22"/>
              </w:rPr>
              <w:t>Słownik filozofii</w:t>
            </w:r>
          </w:p>
        </w:tc>
      </w:tr>
    </w:tbl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rPr>
          <w:rFonts w:ascii="Arial" w:hAnsi="Arial" w:cs="Arial"/>
          <w:sz w:val="22"/>
          <w:szCs w:val="16"/>
        </w:rPr>
      </w:pPr>
    </w:p>
    <w:p w:rsidR="00D95C55" w:rsidRDefault="00D95C55">
      <w:pPr>
        <w:pStyle w:val="Tekstdymka1"/>
        <w:rPr>
          <w:rFonts w:ascii="Arial" w:hAnsi="Arial" w:cs="Arial"/>
          <w:sz w:val="22"/>
        </w:rPr>
      </w:pPr>
    </w:p>
    <w:p w:rsidR="00D95C55" w:rsidRDefault="00E904D3">
      <w:pPr>
        <w:pStyle w:val="Tekstdymka1"/>
      </w:pPr>
      <w:r>
        <w:rPr>
          <w:rFonts w:ascii="Arial" w:hAnsi="Arial" w:cs="Arial"/>
          <w:sz w:val="22"/>
        </w:rPr>
        <w:t>Bilans godzinowy zgodny z CNPS (Całkowity Nakład Pracy Studenta)</w:t>
      </w:r>
      <w:r w:rsidR="001D7DE0">
        <w:rPr>
          <w:rFonts w:ascii="Arial" w:hAnsi="Arial" w:cs="Arial"/>
          <w:sz w:val="22"/>
        </w:rPr>
        <w:t xml:space="preserve"> – studia stacjonarne </w:t>
      </w:r>
    </w:p>
    <w:p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000"/>
      </w:tblPr>
      <w:tblGrid>
        <w:gridCol w:w="2766"/>
        <w:gridCol w:w="5750"/>
        <w:gridCol w:w="1066"/>
      </w:tblGrid>
      <w:tr w:rsidR="00D95C55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95C55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95C55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01342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95C55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01342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904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95C55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01342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904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95C55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95C55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95C55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1342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95C55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D95C55" w:rsidRDefault="00D95C55">
      <w:pPr>
        <w:pStyle w:val="Tekstdymka1"/>
      </w:pPr>
    </w:p>
    <w:p w:rsidR="001D7DE0" w:rsidRDefault="001D7DE0" w:rsidP="001D7DE0">
      <w:pPr>
        <w:pStyle w:val="Tekstdymka1"/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1D7DE0" w:rsidRDefault="001D7DE0" w:rsidP="001D7DE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000"/>
      </w:tblPr>
      <w:tblGrid>
        <w:gridCol w:w="2766"/>
        <w:gridCol w:w="5750"/>
        <w:gridCol w:w="1066"/>
      </w:tblGrid>
      <w:tr w:rsidR="001D7DE0" w:rsidTr="00B11421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9F63CF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D7DE0" w:rsidTr="00B11421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9F63CF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D7DE0" w:rsidTr="00B11421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9F63CF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D7DE0" w:rsidTr="00B11421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1D7DE0" w:rsidTr="00B11421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9F63CF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D7D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D7DE0" w:rsidTr="00B11421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D7DE0" w:rsidTr="00B11421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D7DE0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9F63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D7DE0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D7DE0" w:rsidRDefault="001D7DE0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1D7DE0" w:rsidRDefault="001D7DE0" w:rsidP="001D7DE0">
      <w:pPr>
        <w:pStyle w:val="Tekstdymka1"/>
      </w:pPr>
    </w:p>
    <w:p w:rsidR="001D7DE0" w:rsidRDefault="001D7DE0">
      <w:pPr>
        <w:pStyle w:val="Tekstdymka1"/>
      </w:pPr>
    </w:p>
    <w:sectPr w:rsidR="001D7DE0" w:rsidSect="001D33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7C" w:rsidRDefault="00C5177C">
      <w:r>
        <w:separator/>
      </w:r>
    </w:p>
  </w:endnote>
  <w:endnote w:type="continuationSeparator" w:id="1">
    <w:p w:rsidR="00C5177C" w:rsidRDefault="00C5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55" w:rsidRDefault="00085E68">
    <w:pPr>
      <w:pStyle w:val="Stopka"/>
      <w:jc w:val="right"/>
    </w:pPr>
    <w:r>
      <w:fldChar w:fldCharType="begin"/>
    </w:r>
    <w:r w:rsidR="00E904D3">
      <w:instrText xml:space="preserve"> PAGE </w:instrText>
    </w:r>
    <w:r>
      <w:fldChar w:fldCharType="separate"/>
    </w:r>
    <w:r w:rsidR="00286AE4">
      <w:rPr>
        <w:noProof/>
      </w:rPr>
      <w:t>1</w:t>
    </w:r>
    <w:r>
      <w:fldChar w:fldCharType="end"/>
    </w:r>
  </w:p>
  <w:p w:rsidR="00D95C55" w:rsidRDefault="00D95C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55" w:rsidRDefault="00D95C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7C" w:rsidRDefault="00C5177C">
      <w:r>
        <w:separator/>
      </w:r>
    </w:p>
  </w:footnote>
  <w:footnote w:type="continuationSeparator" w:id="1">
    <w:p w:rsidR="00C5177C" w:rsidRDefault="00C5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55" w:rsidRDefault="00D95C55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55" w:rsidRDefault="00D95C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904D3"/>
    <w:rsid w:val="00013423"/>
    <w:rsid w:val="00085E68"/>
    <w:rsid w:val="001D3389"/>
    <w:rsid w:val="001D7DE0"/>
    <w:rsid w:val="00286AE4"/>
    <w:rsid w:val="00464332"/>
    <w:rsid w:val="005C3040"/>
    <w:rsid w:val="0072402B"/>
    <w:rsid w:val="008C48C3"/>
    <w:rsid w:val="009F63CF"/>
    <w:rsid w:val="00C5177C"/>
    <w:rsid w:val="00CE3D1D"/>
    <w:rsid w:val="00CE7F86"/>
    <w:rsid w:val="00D95C55"/>
    <w:rsid w:val="00E72790"/>
    <w:rsid w:val="00E9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38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D3389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3389"/>
    <w:rPr>
      <w:b w:val="0"/>
      <w:sz w:val="14"/>
      <w:szCs w:val="14"/>
    </w:rPr>
  </w:style>
  <w:style w:type="character" w:customStyle="1" w:styleId="WW8Num2z0">
    <w:name w:val="WW8Num2z0"/>
    <w:rsid w:val="001D3389"/>
  </w:style>
  <w:style w:type="character" w:customStyle="1" w:styleId="WW8Num2z1">
    <w:name w:val="WW8Num2z1"/>
    <w:rsid w:val="001D3389"/>
  </w:style>
  <w:style w:type="character" w:customStyle="1" w:styleId="WW8Num2z2">
    <w:name w:val="WW8Num2z2"/>
    <w:rsid w:val="001D3389"/>
  </w:style>
  <w:style w:type="character" w:customStyle="1" w:styleId="WW8Num2z3">
    <w:name w:val="WW8Num2z3"/>
    <w:rsid w:val="001D3389"/>
  </w:style>
  <w:style w:type="character" w:customStyle="1" w:styleId="WW8Num2z4">
    <w:name w:val="WW8Num2z4"/>
    <w:rsid w:val="001D3389"/>
  </w:style>
  <w:style w:type="character" w:customStyle="1" w:styleId="WW8Num2z5">
    <w:name w:val="WW8Num2z5"/>
    <w:rsid w:val="001D3389"/>
  </w:style>
  <w:style w:type="character" w:customStyle="1" w:styleId="WW8Num2z6">
    <w:name w:val="WW8Num2z6"/>
    <w:rsid w:val="001D3389"/>
  </w:style>
  <w:style w:type="character" w:customStyle="1" w:styleId="WW8Num2z7">
    <w:name w:val="WW8Num2z7"/>
    <w:rsid w:val="001D3389"/>
  </w:style>
  <w:style w:type="character" w:customStyle="1" w:styleId="WW8Num2z8">
    <w:name w:val="WW8Num2z8"/>
    <w:rsid w:val="001D3389"/>
  </w:style>
  <w:style w:type="character" w:customStyle="1" w:styleId="WW8Num3z0">
    <w:name w:val="WW8Num3z0"/>
    <w:rsid w:val="001D3389"/>
    <w:rPr>
      <w:rFonts w:ascii="Symbol" w:hAnsi="Symbol" w:cs="Symbol" w:hint="default"/>
    </w:rPr>
  </w:style>
  <w:style w:type="character" w:customStyle="1" w:styleId="WW8Num3z1">
    <w:name w:val="WW8Num3z1"/>
    <w:rsid w:val="001D3389"/>
    <w:rPr>
      <w:rFonts w:ascii="Courier New" w:hAnsi="Courier New" w:cs="Courier New" w:hint="default"/>
    </w:rPr>
  </w:style>
  <w:style w:type="character" w:customStyle="1" w:styleId="WW8Num3z2">
    <w:name w:val="WW8Num3z2"/>
    <w:rsid w:val="001D3389"/>
    <w:rPr>
      <w:rFonts w:ascii="Wingdings" w:hAnsi="Wingdings" w:cs="Wingdings" w:hint="default"/>
    </w:rPr>
  </w:style>
  <w:style w:type="character" w:customStyle="1" w:styleId="WW8Num4z0">
    <w:name w:val="WW8Num4z0"/>
    <w:rsid w:val="001D3389"/>
    <w:rPr>
      <w:rFonts w:ascii="Symbol" w:hAnsi="Symbol" w:cs="Symbol" w:hint="default"/>
    </w:rPr>
  </w:style>
  <w:style w:type="character" w:customStyle="1" w:styleId="WW8Num4z1">
    <w:name w:val="WW8Num4z1"/>
    <w:rsid w:val="001D3389"/>
    <w:rPr>
      <w:rFonts w:ascii="Courier New" w:hAnsi="Courier New" w:cs="Courier New" w:hint="default"/>
    </w:rPr>
  </w:style>
  <w:style w:type="character" w:customStyle="1" w:styleId="WW8Num4z2">
    <w:name w:val="WW8Num4z2"/>
    <w:rsid w:val="001D338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D3389"/>
  </w:style>
  <w:style w:type="character" w:customStyle="1" w:styleId="Znakinumeracji">
    <w:name w:val="Znaki numeracji"/>
    <w:rsid w:val="001D3389"/>
  </w:style>
  <w:style w:type="character" w:styleId="Numerstrony">
    <w:name w:val="page number"/>
    <w:rsid w:val="001D3389"/>
    <w:rPr>
      <w:sz w:val="14"/>
      <w:szCs w:val="14"/>
    </w:rPr>
  </w:style>
  <w:style w:type="character" w:customStyle="1" w:styleId="Odwoaniedokomentarza1">
    <w:name w:val="Odwołanie do komentarza1"/>
    <w:rsid w:val="001D3389"/>
    <w:rPr>
      <w:sz w:val="16"/>
      <w:szCs w:val="16"/>
    </w:rPr>
  </w:style>
  <w:style w:type="character" w:customStyle="1" w:styleId="Znakiprzypiswdolnych">
    <w:name w:val="Znaki przypisów dolnych"/>
    <w:rsid w:val="001D3389"/>
    <w:rPr>
      <w:vertAlign w:val="superscript"/>
    </w:rPr>
  </w:style>
  <w:style w:type="character" w:customStyle="1" w:styleId="StopkaZnak">
    <w:name w:val="Stopka Znak"/>
    <w:rsid w:val="001D3389"/>
    <w:rPr>
      <w:sz w:val="24"/>
      <w:szCs w:val="24"/>
    </w:rPr>
  </w:style>
  <w:style w:type="character" w:customStyle="1" w:styleId="TekstdymkaZnak">
    <w:name w:val="Tekst dymka Znak"/>
    <w:rsid w:val="001D338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1D3389"/>
  </w:style>
  <w:style w:type="character" w:customStyle="1" w:styleId="TematkomentarzaZnak">
    <w:name w:val="Temat komentarza Znak"/>
    <w:rsid w:val="001D3389"/>
    <w:rPr>
      <w:b/>
      <w:bCs/>
    </w:rPr>
  </w:style>
  <w:style w:type="paragraph" w:customStyle="1" w:styleId="Nagwek10">
    <w:name w:val="Nagłówek1"/>
    <w:basedOn w:val="Normalny"/>
    <w:next w:val="Tekstpodstawowy"/>
    <w:rsid w:val="001D33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D3389"/>
    <w:pPr>
      <w:spacing w:after="120"/>
    </w:pPr>
  </w:style>
  <w:style w:type="paragraph" w:styleId="Lista">
    <w:name w:val="List"/>
    <w:basedOn w:val="Tekstpodstawowy"/>
    <w:rsid w:val="001D3389"/>
  </w:style>
  <w:style w:type="paragraph" w:styleId="Legenda">
    <w:name w:val="caption"/>
    <w:basedOn w:val="Normalny"/>
    <w:qFormat/>
    <w:rsid w:val="001D338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1D3389"/>
    <w:pPr>
      <w:suppressLineNumbers/>
    </w:pPr>
  </w:style>
  <w:style w:type="paragraph" w:customStyle="1" w:styleId="Podpis1">
    <w:name w:val="Podpis1"/>
    <w:basedOn w:val="Normalny"/>
    <w:rsid w:val="001D3389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rsid w:val="001D338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1D338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1D338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D3389"/>
    <w:pPr>
      <w:suppressLineNumbers/>
    </w:pPr>
  </w:style>
  <w:style w:type="paragraph" w:customStyle="1" w:styleId="Nagwektabeli">
    <w:name w:val="Nagłówek tabeli"/>
    <w:basedOn w:val="Zawartotabeli"/>
    <w:rsid w:val="001D338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D3389"/>
  </w:style>
  <w:style w:type="paragraph" w:customStyle="1" w:styleId="Tekstkomentarza1">
    <w:name w:val="Tekst komentarza1"/>
    <w:basedOn w:val="Normalny"/>
    <w:rsid w:val="001D3389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1D3389"/>
    <w:rPr>
      <w:b/>
      <w:bCs/>
    </w:rPr>
  </w:style>
  <w:style w:type="paragraph" w:customStyle="1" w:styleId="Tekstdymka1">
    <w:name w:val="Tekst dymka1"/>
    <w:basedOn w:val="Normalny"/>
    <w:rsid w:val="001D33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1D3389"/>
    <w:rPr>
      <w:sz w:val="20"/>
      <w:szCs w:val="20"/>
    </w:rPr>
  </w:style>
  <w:style w:type="paragraph" w:styleId="Tekstdymka">
    <w:name w:val="Balloon Text"/>
    <w:basedOn w:val="Normalny"/>
    <w:rsid w:val="001D338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1D3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creator>Barbara Wilk</dc:creator>
  <cp:lastModifiedBy>grzegorz kubinski</cp:lastModifiedBy>
  <cp:revision>3</cp:revision>
  <cp:lastPrinted>2012-01-27T07:28:00Z</cp:lastPrinted>
  <dcterms:created xsi:type="dcterms:W3CDTF">2024-11-02T14:39:00Z</dcterms:created>
  <dcterms:modified xsi:type="dcterms:W3CDTF">2024-11-03T16:30:00Z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zal_nr_4_karta_kursu_2019</vt:lpwstr>
  </property>
  <property fmtid="{D5CDD505-2E9C-101B-9397-08002B2CF9AE}" pid="3" name="display_urn:schemas-microsoft-com:office:office#Author">
    <vt:lpwstr>Monika Defort-Szczepańska</vt:lpwstr>
  </property>
  <property fmtid="{D5CDD505-2E9C-101B-9397-08002B2CF9AE}" pid="4" name="display_urn:schemas-microsoft-com:office:office#Editor">
    <vt:lpwstr>Monika Defort-Szczepańska</vt:lpwstr>
  </property>
  <property fmtid="{D5CDD505-2E9C-101B-9397-08002B2CF9AE}" pid="5" name="mbof">
    <vt:lpwstr/>
  </property>
</Properties>
</file>