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50" w:rsidRDefault="00303F50">
      <w:pPr>
        <w:autoSpaceDE/>
        <w:jc w:val="right"/>
        <w:rPr>
          <w:rFonts w:ascii="Arial" w:hAnsi="Arial" w:cs="Arial"/>
          <w:i/>
          <w:sz w:val="22"/>
        </w:rPr>
      </w:pPr>
    </w:p>
    <w:p w:rsidR="00E26253" w:rsidRDefault="00E26253">
      <w:pPr>
        <w:autoSpaceDE/>
        <w:jc w:val="right"/>
        <w:rPr>
          <w:rFonts w:ascii="Arial" w:hAnsi="Arial" w:cs="Arial"/>
          <w:i/>
          <w:sz w:val="22"/>
        </w:rPr>
      </w:pPr>
    </w:p>
    <w:p w:rsidR="00303F50" w:rsidRDefault="00303F50">
      <w:pPr>
        <w:autoSpaceDE/>
        <w:jc w:val="right"/>
        <w:rPr>
          <w:rFonts w:ascii="Arial" w:hAnsi="Arial" w:cs="Arial"/>
          <w:b/>
          <w:bCs/>
        </w:rPr>
      </w:pPr>
    </w:p>
    <w:p w:rsidR="00303F50" w:rsidRDefault="00303F5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:rsidR="00303F50" w:rsidRDefault="00303F50">
      <w:pPr>
        <w:autoSpaceDE/>
        <w:jc w:val="center"/>
        <w:rPr>
          <w:rFonts w:ascii="Arial" w:hAnsi="Arial" w:cs="Arial"/>
          <w:sz w:val="22"/>
          <w:szCs w:val="14"/>
        </w:rPr>
      </w:pPr>
    </w:p>
    <w:p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p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55"/>
      </w:tblGrid>
      <w:tr w:rsidR="00EE7223" w:rsidTr="00EE7223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:rsidR="00EE7223" w:rsidRDefault="00EE7223" w:rsidP="00EE7223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:rsidR="00EE7223" w:rsidRDefault="00EE7223" w:rsidP="00EE7223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Antropologia kulturowa</w:t>
            </w:r>
          </w:p>
        </w:tc>
      </w:tr>
      <w:tr w:rsidR="00EE7223" w:rsidTr="00EE7223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:rsidR="00EE7223" w:rsidRDefault="00EE7223" w:rsidP="00EE7223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:rsidR="00EE7223" w:rsidRDefault="00EE7223" w:rsidP="00EE7223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Cultural</w:t>
            </w:r>
            <w:r w:rsidR="002F0DB2">
              <w:t xml:space="preserve"> </w:t>
            </w:r>
            <w:r>
              <w:t>Anthropology</w:t>
            </w:r>
          </w:p>
        </w:tc>
      </w:tr>
    </w:tbl>
    <w:p w:rsidR="00303F50" w:rsidRDefault="00303F5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89"/>
        <w:gridCol w:w="3190"/>
        <w:gridCol w:w="3261"/>
      </w:tblGrid>
      <w:tr w:rsidR="00827D3B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:rsidR="00827D3B" w:rsidRPr="005D699B" w:rsidRDefault="00315F02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F02">
              <w:rPr>
                <w:rFonts w:ascii="Arial" w:hAnsi="Arial" w:cs="Arial"/>
                <w:sz w:val="20"/>
                <w:szCs w:val="20"/>
              </w:rPr>
              <w:t xml:space="preserve">Dr hab. prof. UKEN Sławomir Kapralski  </w:t>
            </w:r>
          </w:p>
        </w:tc>
        <w:tc>
          <w:tcPr>
            <w:tcW w:w="3261" w:type="dxa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315F02" w:rsidRDefault="00315F02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F02">
              <w:rPr>
                <w:rFonts w:ascii="Arial" w:hAnsi="Arial" w:cs="Arial"/>
                <w:sz w:val="20"/>
                <w:szCs w:val="20"/>
              </w:rPr>
              <w:t xml:space="preserve">Dr hab. prof. UKEN Sławomir Kapralski  </w:t>
            </w:r>
          </w:p>
          <w:p w:rsidR="00EE7223" w:rsidRDefault="00EE7223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6E6">
              <w:rPr>
                <w:rFonts w:ascii="Arial" w:hAnsi="Arial" w:cs="Arial"/>
                <w:sz w:val="20"/>
                <w:szCs w:val="20"/>
              </w:rPr>
              <w:t xml:space="preserve">Dr Maria Rogińska </w:t>
            </w:r>
          </w:p>
        </w:tc>
      </w:tr>
      <w:tr w:rsidR="00827D3B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27D3B" w:rsidRDefault="006366E6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:rsidR="00303F50" w:rsidRDefault="00303F50">
      <w:pPr>
        <w:jc w:val="center"/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40"/>
      </w:tblGrid>
      <w:tr w:rsidR="00303F50">
        <w:trPr>
          <w:trHeight w:val="1365"/>
        </w:trPr>
        <w:tc>
          <w:tcPr>
            <w:tcW w:w="9640" w:type="dxa"/>
          </w:tcPr>
          <w:p w:rsidR="00EE7223" w:rsidRDefault="00EE7223" w:rsidP="00EE7223">
            <w:pPr>
              <w:jc w:val="both"/>
            </w:pPr>
            <w:r>
              <w:t xml:space="preserve">Kurs stanowi prezentację głównych stanowisk teoretycznych i obszarów badawczych antropologii kulturowej. Kurs ma umożliwić studentowi zrozumienie podstawowych pojęć, którymi posługują się różne perspektywy antropologiczne i związanych z nimi metod badawczych. W rezultacie studenci posiądą kompetencje w zakresie myślenia o świecie w kategoriach różnorodności kulturowej i interpretacji tej różnorodności za pomocą podejścia antropologicznego. Kurs prowadzony będzie w języku polskim. </w:t>
            </w:r>
          </w:p>
          <w:p w:rsidR="00303F50" w:rsidRDefault="00303F50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1"/>
        <w:gridCol w:w="7699"/>
      </w:tblGrid>
      <w:tr w:rsidR="00EE7223" w:rsidTr="00EE7223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:rsidR="00EE7223" w:rsidRDefault="00EE7223" w:rsidP="00EE7223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:rsidR="00EE7223" w:rsidRDefault="00EE7223" w:rsidP="00EE7223">
            <w:pPr>
              <w:autoSpaceDE/>
            </w:pPr>
            <w:r>
              <w:t>Kandydat posiada wstępną wiedzę w zakresie teorii, pojęć i metod badawczych socjologii oraz znajomość historii myśli społecznej.</w:t>
            </w:r>
          </w:p>
          <w:p w:rsidR="00EE7223" w:rsidRDefault="00EE7223" w:rsidP="00EE7223">
            <w:pPr>
              <w:autoSpaceDE/>
            </w:pPr>
          </w:p>
          <w:p w:rsidR="00EE7223" w:rsidRDefault="00EE7223" w:rsidP="00EE7223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EE7223" w:rsidTr="00EE7223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:rsidR="00EE7223" w:rsidRDefault="00EE7223" w:rsidP="00EE7223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:rsidR="00EE7223" w:rsidRDefault="00EE7223" w:rsidP="00EE7223">
            <w:pPr>
              <w:autoSpaceDE/>
            </w:pPr>
            <w:r>
              <w:t>Kandydat umie samodzielnie pracować z tekstem, stawiać pytania, tezy i budować argumentację na ich poparcie, uczestniczyć w dyskusji.</w:t>
            </w:r>
          </w:p>
          <w:p w:rsidR="00EE7223" w:rsidRDefault="00EE7223" w:rsidP="00EE7223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EE7223" w:rsidTr="00EE7223">
        <w:tc>
          <w:tcPr>
            <w:tcW w:w="1941" w:type="dxa"/>
            <w:shd w:val="clear" w:color="auto" w:fill="DBE5F1"/>
            <w:vAlign w:val="center"/>
          </w:tcPr>
          <w:p w:rsidR="00EE7223" w:rsidRDefault="00EE7223" w:rsidP="00EE7223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:rsidR="00EE7223" w:rsidRDefault="00EE7223" w:rsidP="00EE7223">
            <w:pPr>
              <w:autoSpaceDE/>
            </w:pPr>
            <w:r>
              <w:t>Wstęp do socjologii, Historia myśli społecznej (1)</w:t>
            </w:r>
          </w:p>
          <w:p w:rsidR="00EE7223" w:rsidRDefault="00EE7223" w:rsidP="00EE7223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4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Efekty </w:t>
      </w:r>
      <w:r w:rsidR="00100620">
        <w:rPr>
          <w:rFonts w:ascii="Arial" w:hAnsi="Arial" w:cs="Arial"/>
          <w:sz w:val="22"/>
          <w:szCs w:val="16"/>
        </w:rPr>
        <w:t>uczenia się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79"/>
        <w:gridCol w:w="5296"/>
        <w:gridCol w:w="2365"/>
      </w:tblGrid>
      <w:tr w:rsidR="00303F50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1838"/>
        </w:trPr>
        <w:tc>
          <w:tcPr>
            <w:tcW w:w="1979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:rsidR="00EE7223" w:rsidRDefault="00EE7223" w:rsidP="00EE7223">
            <w:r>
              <w:t>W01 – ma ogólną wiedzę o tym, czym jest antropologia kulturowa, a także o jej miejscu w systemie nauk społecznych</w:t>
            </w:r>
          </w:p>
          <w:p w:rsidR="00EE7223" w:rsidRDefault="00EE7223" w:rsidP="00EE7223"/>
          <w:p w:rsidR="00EE7223" w:rsidRDefault="00EE7223" w:rsidP="00EE7223">
            <w:r>
              <w:t>W02 – rozumie wnioski wynikające z refleksji klasycznej antropologii nad rolą badacza, metodami badawczymi i przedmiotem badania.</w:t>
            </w:r>
          </w:p>
          <w:p w:rsidR="00EE7223" w:rsidRDefault="00EE7223" w:rsidP="00EE7223"/>
          <w:p w:rsidR="00EE7223" w:rsidRDefault="00EE7223" w:rsidP="00EE7223">
            <w:r>
              <w:t>W03 – posiada wiedzę o różnych typach społeczeństw przedindustrialnych, ich elementach składowych i ich funkcjach.</w:t>
            </w:r>
          </w:p>
          <w:p w:rsidR="00EE7223" w:rsidRDefault="00EE7223" w:rsidP="00EE7223"/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:rsidR="00303F50" w:rsidRDefault="00EE72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K_W01</w:t>
            </w:r>
          </w:p>
          <w:p w:rsidR="00EE7223" w:rsidRDefault="00EE7223">
            <w:pPr>
              <w:rPr>
                <w:rFonts w:ascii="Arial" w:hAnsi="Arial" w:cs="Arial"/>
                <w:sz w:val="20"/>
                <w:szCs w:val="20"/>
              </w:rPr>
            </w:pPr>
          </w:p>
          <w:p w:rsidR="00EE7223" w:rsidRDefault="00EE7223">
            <w:pPr>
              <w:rPr>
                <w:rFonts w:ascii="Arial" w:hAnsi="Arial" w:cs="Arial"/>
                <w:sz w:val="20"/>
                <w:szCs w:val="20"/>
              </w:rPr>
            </w:pPr>
          </w:p>
          <w:p w:rsidR="00EE7223" w:rsidRDefault="00EE7223">
            <w:pPr>
              <w:rPr>
                <w:rFonts w:ascii="Arial" w:hAnsi="Arial" w:cs="Arial"/>
                <w:sz w:val="20"/>
                <w:szCs w:val="20"/>
              </w:rPr>
            </w:pPr>
          </w:p>
          <w:p w:rsidR="00EE7223" w:rsidRDefault="00EE7223">
            <w:pPr>
              <w:rPr>
                <w:rFonts w:ascii="Arial" w:hAnsi="Arial" w:cs="Arial"/>
                <w:sz w:val="20"/>
                <w:szCs w:val="20"/>
              </w:rPr>
            </w:pPr>
          </w:p>
          <w:p w:rsidR="00EE7223" w:rsidRDefault="00EE7223">
            <w:pPr>
              <w:rPr>
                <w:rFonts w:ascii="Arial" w:hAnsi="Arial" w:cs="Arial"/>
                <w:sz w:val="20"/>
                <w:szCs w:val="20"/>
              </w:rPr>
            </w:pPr>
          </w:p>
          <w:p w:rsidR="00EE7223" w:rsidRDefault="00EE72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K_W02</w:t>
            </w:r>
          </w:p>
          <w:p w:rsidR="00EE7223" w:rsidRDefault="00EE7223">
            <w:pPr>
              <w:rPr>
                <w:rFonts w:ascii="Arial" w:hAnsi="Arial" w:cs="Arial"/>
                <w:sz w:val="20"/>
                <w:szCs w:val="20"/>
              </w:rPr>
            </w:pPr>
          </w:p>
          <w:p w:rsidR="00EE7223" w:rsidRDefault="00EE7223">
            <w:pPr>
              <w:rPr>
                <w:rFonts w:ascii="Arial" w:hAnsi="Arial" w:cs="Arial"/>
                <w:sz w:val="20"/>
                <w:szCs w:val="20"/>
              </w:rPr>
            </w:pPr>
          </w:p>
          <w:p w:rsidR="00EE7223" w:rsidRDefault="00EE7223">
            <w:pPr>
              <w:rPr>
                <w:rFonts w:ascii="Arial" w:hAnsi="Arial" w:cs="Arial"/>
                <w:sz w:val="20"/>
                <w:szCs w:val="20"/>
              </w:rPr>
            </w:pPr>
          </w:p>
          <w:p w:rsidR="00EE7223" w:rsidRDefault="00EE7223">
            <w:pPr>
              <w:rPr>
                <w:rFonts w:ascii="Arial" w:hAnsi="Arial" w:cs="Arial"/>
                <w:sz w:val="20"/>
                <w:szCs w:val="20"/>
              </w:rPr>
            </w:pPr>
          </w:p>
          <w:p w:rsidR="00EE7223" w:rsidRDefault="00EE72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K_W02, K_W03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303F50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2116"/>
        </w:trPr>
        <w:tc>
          <w:tcPr>
            <w:tcW w:w="1985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EE7223" w:rsidRDefault="00EE7223" w:rsidP="00EE7223">
            <w:r>
              <w:t>U01 – samodzielnie interpretuje tekst z zakresu antropologii, poddaje krytyce zawarte w nim tezy, potrafi jasno komunikować swoje poglądy.</w:t>
            </w:r>
          </w:p>
          <w:p w:rsidR="00EE7223" w:rsidRDefault="00EE7223" w:rsidP="00EE7223"/>
          <w:p w:rsidR="00EE7223" w:rsidRDefault="00EE7223" w:rsidP="00EE7223">
            <w:r>
              <w:t>U02 – rozwija postawę krytyczną w odniesieniu do zastanych zjawisk kulturowych, demonstruje rozumienie kluczowych mechanizmów rządzących światem kultury.</w:t>
            </w:r>
          </w:p>
          <w:p w:rsidR="00EE7223" w:rsidRDefault="00EE7223" w:rsidP="00EE7223"/>
          <w:p w:rsidR="00303F50" w:rsidRDefault="00EE7223" w:rsidP="00EE7223">
            <w:pPr>
              <w:rPr>
                <w:rFonts w:ascii="Arial" w:hAnsi="Arial" w:cs="Arial"/>
                <w:sz w:val="20"/>
                <w:szCs w:val="20"/>
              </w:rPr>
            </w:pPr>
            <w:r>
              <w:t>U03 – wykazuje rozumienie problemów etycznych związanych z badaniem antropologicznym; potrafi ukazać założenia stereotypów kulturowych, rasowych i płciowych oraz wyciągnąć wnioski dotyczące ich konsekwencji dla kultury i społeczeństwa.</w:t>
            </w:r>
          </w:p>
        </w:tc>
        <w:tc>
          <w:tcPr>
            <w:tcW w:w="2410" w:type="dxa"/>
          </w:tcPr>
          <w:p w:rsidR="00303F50" w:rsidRDefault="00EE72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K_U01, K_U04</w:t>
            </w:r>
          </w:p>
          <w:p w:rsidR="00557F4B" w:rsidRDefault="00557F4B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F4B" w:rsidRDefault="00557F4B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F4B" w:rsidRDefault="00557F4B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F4B" w:rsidRDefault="00557F4B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F4B" w:rsidRDefault="00557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K_U03</w:t>
            </w:r>
          </w:p>
          <w:p w:rsidR="00557F4B" w:rsidRDefault="00557F4B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F4B" w:rsidRDefault="00557F4B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F4B" w:rsidRDefault="00557F4B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F4B" w:rsidRDefault="00557F4B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F4B" w:rsidRDefault="00557F4B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F4B" w:rsidRDefault="00557F4B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F4B" w:rsidRDefault="00557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K_U02, K_U04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303F50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1984"/>
        </w:trPr>
        <w:tc>
          <w:tcPr>
            <w:tcW w:w="1985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EE7223" w:rsidRDefault="00EE7223" w:rsidP="00EE7223">
            <w:r>
              <w:t>K01 – organizuje swoją pracę, ustala hierarchię ważności jej poszczególnych elementów, konsekwentnie dąży do celu.</w:t>
            </w:r>
          </w:p>
          <w:p w:rsidR="00EE7223" w:rsidRDefault="00EE7223" w:rsidP="00EE7223"/>
          <w:p w:rsidR="00EE7223" w:rsidRDefault="00EE7223" w:rsidP="00EE7223">
            <w:r>
              <w:t>K02 – wykazuje się tolerancją wobec innych kultur, ras i płci, akceptuje inność i prawo do inności; uświadamia sobie ograniczenia postawy etnocentrycznej.</w:t>
            </w:r>
          </w:p>
          <w:p w:rsidR="00EE7223" w:rsidRDefault="00EE7223" w:rsidP="00EE7223"/>
          <w:p w:rsidR="00EE7223" w:rsidRDefault="00EE7223" w:rsidP="00EE7223"/>
          <w:p w:rsidR="00EE7223" w:rsidRDefault="00EE7223" w:rsidP="00EE7223">
            <w:r>
              <w:t xml:space="preserve">K03 – kształtuje w sobie postawę otwartości na nową wiedzę, zainteresowanie wobec zjawisk niezbadanych, zdolność i potrzebę istotnych uogólnień. </w:t>
            </w:r>
          </w:p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303F50" w:rsidRDefault="00557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K_K01</w:t>
            </w:r>
          </w:p>
          <w:p w:rsidR="00557F4B" w:rsidRDefault="00557F4B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F4B" w:rsidRDefault="00557F4B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F4B" w:rsidRDefault="00557F4B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F4B" w:rsidRDefault="00557F4B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F4B" w:rsidRDefault="00557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K_K02</w:t>
            </w:r>
          </w:p>
          <w:p w:rsidR="00557F4B" w:rsidRDefault="00557F4B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F4B" w:rsidRDefault="00557F4B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F4B" w:rsidRDefault="00557F4B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F4B" w:rsidRDefault="00557F4B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F4B" w:rsidRDefault="00557F4B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F4B" w:rsidRDefault="00557F4B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F4B" w:rsidRDefault="00557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K_K01 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03F50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  <w:r w:rsidR="00557F4B">
              <w:rPr>
                <w:rFonts w:ascii="Arial" w:hAnsi="Arial" w:cs="Arial"/>
                <w:sz w:val="20"/>
                <w:szCs w:val="20"/>
              </w:rPr>
              <w:t xml:space="preserve"> – studia stacjonarne </w:t>
            </w:r>
          </w:p>
        </w:tc>
      </w:tr>
      <w:tr w:rsidR="00303F50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303F50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>
        <w:trPr>
          <w:trHeight w:val="462"/>
        </w:trPr>
        <w:tc>
          <w:tcPr>
            <w:tcW w:w="1611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303F50" w:rsidRDefault="00557F4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6366E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557F4B" w:rsidRDefault="00557F4B" w:rsidP="00557F4B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557F4B" w:rsidTr="002168BC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F4B" w:rsidRDefault="00557F4B" w:rsidP="002168BC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Organizacja – studia niestacjonarne </w:t>
            </w:r>
          </w:p>
        </w:tc>
      </w:tr>
      <w:tr w:rsidR="00557F4B" w:rsidTr="002168BC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557F4B" w:rsidTr="002168BC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F4B" w:rsidTr="002168BC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F4B" w:rsidTr="002168BC">
        <w:trPr>
          <w:trHeight w:val="462"/>
        </w:trPr>
        <w:tc>
          <w:tcPr>
            <w:tcW w:w="1611" w:type="dxa"/>
            <w:vAlign w:val="center"/>
          </w:tcPr>
          <w:p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7F4B" w:rsidRDefault="00557F4B">
      <w:pPr>
        <w:rPr>
          <w:rFonts w:ascii="Arial" w:hAnsi="Arial" w:cs="Arial"/>
          <w:sz w:val="22"/>
          <w:szCs w:val="14"/>
        </w:rPr>
      </w:pPr>
    </w:p>
    <w:p w:rsidR="00557F4B" w:rsidRDefault="00557F4B">
      <w:pPr>
        <w:rPr>
          <w:rFonts w:ascii="Arial" w:hAnsi="Arial" w:cs="Arial"/>
          <w:sz w:val="22"/>
          <w:szCs w:val="14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920"/>
        </w:trPr>
        <w:tc>
          <w:tcPr>
            <w:tcW w:w="9622" w:type="dxa"/>
          </w:tcPr>
          <w:p w:rsidR="00303F50" w:rsidRDefault="00557F4B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t>Zajęcia odbywają się w formie wykładów i ćwiczeń. Metodą prowadzenia wykładu jest tradycyjna prezentacja ustna. Metodą prowadzenia ćwiczeń jest dyskusja wokół tekstów wybranych przez prowadzącego i materiału audiowizualnego. Studenci zachęcani są do pracy w zespołach, obejmującej dyskusję nad zadaną literaturą przedmiotu i prezentację referatów.</w:t>
            </w:r>
            <w:r w:rsidR="0033013B">
              <w:t xml:space="preserve"> Uczestnictwo w wykładzie i ćwiczeniach jest obowiązkowe.</w:t>
            </w: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100620">
        <w:rPr>
          <w:rFonts w:ascii="Arial" w:hAnsi="Arial" w:cs="Arial"/>
          <w:sz w:val="22"/>
          <w:szCs w:val="16"/>
        </w:rPr>
        <w:t>uczenia się</w:t>
      </w: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303F50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557F4B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557F4B" w:rsidRDefault="00557F4B" w:rsidP="00557F4B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</w:tr>
      <w:tr w:rsidR="00557F4B" w:rsidTr="00432094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557F4B" w:rsidRDefault="00557F4B" w:rsidP="00557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W02</w:t>
            </w: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  <w:r>
              <w:t>x</w:t>
            </w:r>
          </w:p>
        </w:tc>
        <w:tc>
          <w:tcPr>
            <w:tcW w:w="769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</w:tr>
      <w:tr w:rsidR="00557F4B" w:rsidTr="00432094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557F4B" w:rsidRDefault="00557F4B" w:rsidP="00557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W03</w:t>
            </w: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  <w:r>
              <w:t>x</w:t>
            </w:r>
          </w:p>
        </w:tc>
        <w:tc>
          <w:tcPr>
            <w:tcW w:w="769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</w:tr>
      <w:tr w:rsidR="00557F4B" w:rsidTr="00432094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557F4B" w:rsidRDefault="00557F4B" w:rsidP="00557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U01</w:t>
            </w: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  <w:r>
              <w:t>x</w:t>
            </w:r>
          </w:p>
        </w:tc>
        <w:tc>
          <w:tcPr>
            <w:tcW w:w="769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</w:tr>
      <w:tr w:rsidR="00557F4B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557F4B" w:rsidRDefault="00557F4B" w:rsidP="00557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U02</w:t>
            </w: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</w:tr>
      <w:tr w:rsidR="00557F4B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557F4B" w:rsidRDefault="00557F4B" w:rsidP="00557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U03</w:t>
            </w: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</w:tr>
      <w:tr w:rsidR="00557F4B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557F4B" w:rsidRDefault="00557F4B" w:rsidP="00557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K01</w:t>
            </w: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</w:tr>
      <w:tr w:rsidR="00557F4B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557F4B" w:rsidRDefault="00557F4B" w:rsidP="00557F4B">
            <w:pPr>
              <w:jc w:val="center"/>
            </w:pPr>
            <w:r>
              <w:t>K02</w:t>
            </w: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</w:tr>
      <w:tr w:rsidR="00557F4B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557F4B" w:rsidRDefault="00557F4B" w:rsidP="00557F4B">
            <w:pPr>
              <w:jc w:val="center"/>
            </w:pPr>
            <w:r>
              <w:t>K03</w:t>
            </w: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303F50"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:rsidR="00557F4B" w:rsidRDefault="00557F4B" w:rsidP="00557F4B">
            <w:pPr>
              <w:widowControl/>
              <w:numPr>
                <w:ilvl w:val="0"/>
                <w:numId w:val="2"/>
              </w:numPr>
              <w:tabs>
                <w:tab w:val="clear" w:pos="0"/>
                <w:tab w:val="num" w:pos="720"/>
              </w:tabs>
              <w:suppressAutoHyphens w:val="0"/>
              <w:autoSpaceDE/>
              <w:ind w:left="720" w:hanging="360"/>
              <w:jc w:val="both"/>
            </w:pPr>
            <w:r>
              <w:t>Dopuszczeni do egzaminu końcowego zostaną tylko ci, którzy</w:t>
            </w:r>
            <w:r w:rsidR="0033013B">
              <w:t xml:space="preserve"> wykażą się obecnością na wykładach oraz</w:t>
            </w:r>
            <w:r>
              <w:t xml:space="preserve"> uzyskają zaliczenie z ćwiczeń. (Warunki uzyskania zaliczenia z ćwiczeń oraz organizacja ćwiczeń zostaną przedstawione przez prowadzących ćwiczenia).</w:t>
            </w:r>
          </w:p>
          <w:p w:rsidR="00557F4B" w:rsidRDefault="00557F4B" w:rsidP="00557F4B">
            <w:pPr>
              <w:widowControl/>
              <w:numPr>
                <w:ilvl w:val="0"/>
                <w:numId w:val="2"/>
              </w:numPr>
              <w:tabs>
                <w:tab w:val="clear" w:pos="0"/>
                <w:tab w:val="num" w:pos="720"/>
              </w:tabs>
              <w:suppressAutoHyphens w:val="0"/>
              <w:autoSpaceDE/>
              <w:ind w:left="720" w:hanging="360"/>
              <w:jc w:val="both"/>
            </w:pPr>
            <w:r>
              <w:t>Egzamin końcowy będzie miał formę testową i będzie się składał z 30 pytań, z podanymi 4 wariantami odpowiedzi, z których jedna i tylko jedna będzie prawdziwa. Za każdą odpowiedź poprawną student otrzyma 1 pkt. Za każdą odpowiedź błędną, brak odpowiedzi lub podanie więcej niż jednej odpowiedzi, student otrzyma 0 pkt. Aby zdać egzamin należy uzyskać min. 16 pkt. Oceny będą przyznawane wg. następującego klucza: 0-15 pkt. = 2; 16-18 pkt. = 3; 19-21 pkt. = 3+; 22-24 pkt. = 4; 25-27 pkt. = 4+; 28-30 pkt. = 5.</w:t>
            </w:r>
          </w:p>
          <w:p w:rsidR="00557F4B" w:rsidRDefault="00557F4B" w:rsidP="00557F4B">
            <w:pPr>
              <w:widowControl/>
              <w:numPr>
                <w:ilvl w:val="0"/>
                <w:numId w:val="2"/>
              </w:numPr>
              <w:tabs>
                <w:tab w:val="clear" w:pos="0"/>
                <w:tab w:val="num" w:pos="720"/>
              </w:tabs>
              <w:suppressAutoHyphens w:val="0"/>
              <w:autoSpaceDE/>
              <w:ind w:left="720" w:hanging="360"/>
              <w:jc w:val="both"/>
            </w:pPr>
            <w:r>
              <w:t>Egzamin poprawkowy</w:t>
            </w:r>
            <w:r w:rsidR="0033013B">
              <w:t xml:space="preserve"> (2 termin)</w:t>
            </w:r>
            <w:r>
              <w:t xml:space="preserve"> będzie egzaminem ustnym.</w:t>
            </w:r>
          </w:p>
          <w:p w:rsidR="00303F50" w:rsidRPr="00557F4B" w:rsidRDefault="00557F4B" w:rsidP="00557F4B">
            <w:pPr>
              <w:widowControl/>
              <w:numPr>
                <w:ilvl w:val="0"/>
                <w:numId w:val="2"/>
              </w:numPr>
              <w:tabs>
                <w:tab w:val="clear" w:pos="0"/>
                <w:tab w:val="num" w:pos="720"/>
              </w:tabs>
              <w:suppressAutoHyphens w:val="0"/>
              <w:autoSpaceDE/>
              <w:ind w:left="720" w:hanging="360"/>
              <w:jc w:val="both"/>
            </w:pPr>
            <w:r>
              <w:t>Pytania egzaminacyjne będą się odnosić do zagadnień przedstawionych na wykładach oraz do wybranej literatury (teksty wskazane w wykazie literatury podstawowej).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303F50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:rsidR="00303F50" w:rsidRPr="00557F4B" w:rsidRDefault="00557F4B">
            <w:pPr>
              <w:pStyle w:val="Zawartotabeli"/>
              <w:spacing w:before="57" w:after="57"/>
            </w:pPr>
            <w:r>
              <w:t>Studenci, którzy uzyskają ocenę 5,0 z ćwiczeń otrzymają ocenę z egzaminu podniesioną o 0,5 stopnia (pod warunkiem uzyskania z egzaminu oceny minimum dostatecznej).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136"/>
        </w:trPr>
        <w:tc>
          <w:tcPr>
            <w:tcW w:w="9622" w:type="dxa"/>
          </w:tcPr>
          <w:p w:rsidR="00557F4B" w:rsidRDefault="00557F4B" w:rsidP="00557F4B">
            <w:pPr>
              <w:jc w:val="both"/>
            </w:pPr>
            <w:r>
              <w:t>WYKŁAD</w:t>
            </w:r>
          </w:p>
          <w:p w:rsidR="00557F4B" w:rsidRDefault="00557F4B" w:rsidP="00557F4B">
            <w:pPr>
              <w:jc w:val="both"/>
            </w:pPr>
          </w:p>
          <w:p w:rsidR="00557F4B" w:rsidRDefault="00557F4B" w:rsidP="00557F4B">
            <w:pPr>
              <w:widowControl/>
              <w:numPr>
                <w:ilvl w:val="0"/>
                <w:numId w:val="5"/>
              </w:numPr>
              <w:suppressAutoHyphens w:val="0"/>
              <w:autoSpaceDE/>
              <w:jc w:val="both"/>
              <w:rPr>
                <w:bCs/>
              </w:rPr>
            </w:pPr>
            <w:r>
              <w:rPr>
                <w:bCs/>
              </w:rPr>
              <w:t>Antropologia i problem inności: przedmiot antropologii.</w:t>
            </w:r>
          </w:p>
          <w:p w:rsidR="00557F4B" w:rsidRDefault="00557F4B" w:rsidP="00557F4B">
            <w:pPr>
              <w:jc w:val="both"/>
              <w:rPr>
                <w:bCs/>
              </w:rPr>
            </w:pPr>
          </w:p>
          <w:p w:rsidR="00557F4B" w:rsidRPr="00557F4B" w:rsidRDefault="00557F4B" w:rsidP="00557F4B">
            <w:pPr>
              <w:pStyle w:val="Akapitzlist"/>
              <w:ind w:left="360"/>
              <w:jc w:val="both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lastRenderedPageBreak/>
              <w:t>2. Początki antropologii kulturowej: kontekst historyczny.</w:t>
            </w:r>
          </w:p>
          <w:p w:rsidR="00557F4B" w:rsidRDefault="00557F4B" w:rsidP="00557F4B">
            <w:pPr>
              <w:jc w:val="both"/>
              <w:rPr>
                <w:bCs/>
              </w:rPr>
            </w:pPr>
          </w:p>
          <w:p w:rsidR="00557F4B" w:rsidRDefault="00557F4B" w:rsidP="00557F4B">
            <w:pPr>
              <w:widowControl/>
              <w:suppressAutoHyphens w:val="0"/>
              <w:autoSpaceDE/>
              <w:ind w:left="360"/>
              <w:jc w:val="both"/>
              <w:rPr>
                <w:b/>
                <w:bCs/>
              </w:rPr>
            </w:pPr>
            <w:r>
              <w:rPr>
                <w:bCs/>
              </w:rPr>
              <w:t>3. Ewolucjonizm jako próba wyjaśnienia zróżnicowania kulturowego.</w:t>
            </w:r>
          </w:p>
          <w:p w:rsidR="00557F4B" w:rsidRDefault="00557F4B" w:rsidP="00557F4B">
            <w:pPr>
              <w:jc w:val="both"/>
              <w:rPr>
                <w:b/>
                <w:bCs/>
              </w:rPr>
            </w:pPr>
          </w:p>
          <w:p w:rsidR="00557F4B" w:rsidRDefault="00557F4B" w:rsidP="00557F4B">
            <w:pPr>
              <w:widowControl/>
              <w:suppressAutoHyphens w:val="0"/>
              <w:autoSpaceDE/>
              <w:ind w:left="360"/>
              <w:jc w:val="both"/>
              <w:rPr>
                <w:bCs/>
              </w:rPr>
            </w:pPr>
            <w:r>
              <w:rPr>
                <w:bCs/>
              </w:rPr>
              <w:t>4. Dyfuzjonizm: koncepcja natury ludzkiej i zmiany społecznej.</w:t>
            </w:r>
          </w:p>
          <w:p w:rsidR="00557F4B" w:rsidRDefault="00557F4B" w:rsidP="00557F4B">
            <w:pPr>
              <w:jc w:val="both"/>
              <w:rPr>
                <w:bCs/>
              </w:rPr>
            </w:pPr>
          </w:p>
          <w:p w:rsidR="00557F4B" w:rsidRPr="00557F4B" w:rsidRDefault="005D699B" w:rsidP="00557F4B">
            <w:pPr>
              <w:pStyle w:val="Akapitzlist"/>
              <w:ind w:left="360"/>
              <w:jc w:val="both"/>
              <w:rPr>
                <w:bCs/>
                <w:lang w:val="pl-PL"/>
              </w:rPr>
            </w:pPr>
            <w:r>
              <w:rPr>
                <w:lang w:val="pl-PL"/>
              </w:rPr>
              <w:t>5.</w:t>
            </w:r>
            <w:r w:rsidRPr="005D699B">
              <w:rPr>
                <w:lang w:val="pl-PL"/>
              </w:rPr>
              <w:t xml:space="preserve"> Historyczny partykularyzm Franza Boasa i początki antropologii amerykańskiej</w:t>
            </w:r>
          </w:p>
          <w:p w:rsidR="00557F4B" w:rsidRDefault="00557F4B" w:rsidP="00557F4B">
            <w:pPr>
              <w:jc w:val="both"/>
              <w:rPr>
                <w:bCs/>
              </w:rPr>
            </w:pPr>
          </w:p>
          <w:p w:rsidR="00557F4B" w:rsidRDefault="00557F4B" w:rsidP="005D699B">
            <w:pPr>
              <w:widowControl/>
              <w:suppressAutoHyphens w:val="0"/>
              <w:autoSpaceDE/>
              <w:ind w:left="360"/>
              <w:jc w:val="both"/>
              <w:rPr>
                <w:bCs/>
              </w:rPr>
            </w:pPr>
            <w:r>
              <w:rPr>
                <w:bCs/>
              </w:rPr>
              <w:t xml:space="preserve">6. </w:t>
            </w:r>
            <w:r w:rsidR="005D699B">
              <w:rPr>
                <w:bCs/>
              </w:rPr>
              <w:t>Funkcjonalizm Bronisława Malinowskiego.</w:t>
            </w:r>
          </w:p>
          <w:p w:rsidR="005D699B" w:rsidRDefault="005D699B" w:rsidP="00557F4B">
            <w:pPr>
              <w:widowControl/>
              <w:suppressAutoHyphens w:val="0"/>
              <w:autoSpaceDE/>
              <w:ind w:left="360"/>
              <w:jc w:val="both"/>
              <w:rPr>
                <w:bCs/>
              </w:rPr>
            </w:pPr>
          </w:p>
          <w:p w:rsidR="00557F4B" w:rsidRDefault="00557F4B" w:rsidP="00557F4B">
            <w:pPr>
              <w:widowControl/>
              <w:suppressAutoHyphens w:val="0"/>
              <w:autoSpaceDE/>
              <w:ind w:left="360"/>
              <w:jc w:val="both"/>
              <w:rPr>
                <w:bCs/>
              </w:rPr>
            </w:pPr>
            <w:r>
              <w:rPr>
                <w:bCs/>
              </w:rPr>
              <w:t xml:space="preserve">7. </w:t>
            </w:r>
            <w:r w:rsidR="005D699B" w:rsidRPr="005D699B">
              <w:rPr>
                <w:bCs/>
              </w:rPr>
              <w:t>Funkcjonalizm Bronisława Malinowskiego. Implikacje teoretyczne.</w:t>
            </w:r>
          </w:p>
          <w:p w:rsidR="00557F4B" w:rsidRDefault="00557F4B" w:rsidP="00557F4B">
            <w:pPr>
              <w:jc w:val="both"/>
              <w:rPr>
                <w:bCs/>
              </w:rPr>
            </w:pPr>
          </w:p>
          <w:p w:rsidR="00557F4B" w:rsidRDefault="00557F4B" w:rsidP="00557F4B">
            <w:pPr>
              <w:widowControl/>
              <w:suppressAutoHyphens w:val="0"/>
              <w:autoSpaceDE/>
              <w:ind w:left="360"/>
              <w:jc w:val="both"/>
            </w:pPr>
            <w:r>
              <w:rPr>
                <w:bCs/>
              </w:rPr>
              <w:t>8. Strukturalny funkcjonalizm i drogi rozwoju funkcjonalizmu po Malinowskim: Radcliffe-Brown, Evans Pritchard, Audrey Richar</w:t>
            </w:r>
            <w:r w:rsidR="005D699B">
              <w:rPr>
                <w:bCs/>
              </w:rPr>
              <w:t>ds, Raymond Firth, Edmund Leach, Meyer Fortes, Max Gluckman.</w:t>
            </w:r>
          </w:p>
          <w:p w:rsidR="00557F4B" w:rsidRDefault="00557F4B" w:rsidP="00557F4B">
            <w:pPr>
              <w:jc w:val="both"/>
            </w:pPr>
          </w:p>
          <w:p w:rsidR="00557F4B" w:rsidRPr="002B5930" w:rsidRDefault="00557F4B" w:rsidP="00557F4B">
            <w:pPr>
              <w:widowControl/>
              <w:suppressAutoHyphens w:val="0"/>
              <w:autoSpaceDE/>
              <w:ind w:left="360"/>
              <w:jc w:val="both"/>
              <w:rPr>
                <w:lang w:val="en-US"/>
              </w:rPr>
            </w:pPr>
            <w:r w:rsidRPr="002B5930">
              <w:rPr>
                <w:bCs/>
                <w:lang w:val="en-US"/>
              </w:rPr>
              <w:t xml:space="preserve">9. </w:t>
            </w:r>
            <w:r w:rsidR="002B5930">
              <w:rPr>
                <w:bCs/>
                <w:lang w:val="en-US"/>
              </w:rPr>
              <w:t>Konfiguracjonizm: Ruth Benedict i Margaret Mead.</w:t>
            </w:r>
          </w:p>
          <w:p w:rsidR="00557F4B" w:rsidRPr="002B5930" w:rsidRDefault="00557F4B" w:rsidP="00557F4B">
            <w:pPr>
              <w:jc w:val="both"/>
              <w:rPr>
                <w:lang w:val="en-US"/>
              </w:rPr>
            </w:pPr>
          </w:p>
          <w:p w:rsidR="00557F4B" w:rsidRPr="002B5930" w:rsidRDefault="00557F4B" w:rsidP="00557F4B">
            <w:pPr>
              <w:widowControl/>
              <w:suppressAutoHyphens w:val="0"/>
              <w:autoSpaceDE/>
              <w:ind w:left="360"/>
              <w:jc w:val="both"/>
              <w:rPr>
                <w:bCs/>
              </w:rPr>
            </w:pPr>
            <w:r w:rsidRPr="002B5930">
              <w:rPr>
                <w:bCs/>
              </w:rPr>
              <w:t xml:space="preserve">10. </w:t>
            </w:r>
            <w:r w:rsidR="002B5930">
              <w:rPr>
                <w:bCs/>
              </w:rPr>
              <w:t>Psychokulturalizm: Kardiner, Linton, Sapir.</w:t>
            </w:r>
          </w:p>
          <w:p w:rsidR="00557F4B" w:rsidRPr="002B5930" w:rsidRDefault="00557F4B" w:rsidP="00557F4B">
            <w:pPr>
              <w:jc w:val="both"/>
              <w:rPr>
                <w:bCs/>
              </w:rPr>
            </w:pPr>
          </w:p>
          <w:p w:rsidR="00557F4B" w:rsidRDefault="00557F4B" w:rsidP="002B5930">
            <w:pPr>
              <w:rPr>
                <w:bCs/>
              </w:rPr>
            </w:pPr>
            <w:r>
              <w:rPr>
                <w:bCs/>
              </w:rPr>
              <w:t xml:space="preserve">11. </w:t>
            </w:r>
            <w:r w:rsidR="002B5930">
              <w:rPr>
                <w:bCs/>
              </w:rPr>
              <w:t>Szkoła rytualno-symboliczna.</w:t>
            </w:r>
          </w:p>
          <w:p w:rsidR="00557F4B" w:rsidRDefault="00557F4B" w:rsidP="00557F4B">
            <w:pPr>
              <w:jc w:val="both"/>
              <w:rPr>
                <w:bCs/>
              </w:rPr>
            </w:pPr>
          </w:p>
          <w:p w:rsidR="00557F4B" w:rsidRDefault="00557F4B" w:rsidP="00557F4B">
            <w:pPr>
              <w:widowControl/>
              <w:suppressAutoHyphens w:val="0"/>
              <w:autoSpaceDE/>
              <w:ind w:left="360"/>
              <w:jc w:val="both"/>
              <w:rPr>
                <w:bCs/>
              </w:rPr>
            </w:pPr>
            <w:r>
              <w:rPr>
                <w:bCs/>
              </w:rPr>
              <w:t>12. Strukturalizm: Claude Lévi-Strauss.</w:t>
            </w:r>
          </w:p>
          <w:p w:rsidR="00557F4B" w:rsidRDefault="00557F4B" w:rsidP="00557F4B">
            <w:pPr>
              <w:jc w:val="both"/>
              <w:rPr>
                <w:bCs/>
              </w:rPr>
            </w:pPr>
          </w:p>
          <w:p w:rsidR="00557F4B" w:rsidRDefault="00557F4B" w:rsidP="00557F4B">
            <w:pPr>
              <w:pStyle w:val="Akapitzlist"/>
              <w:ind w:left="360"/>
              <w:jc w:val="both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13.</w:t>
            </w:r>
            <w:r w:rsidR="002B5930">
              <w:rPr>
                <w:bCs/>
                <w:lang w:val="pl-PL"/>
              </w:rPr>
              <w:t xml:space="preserve"> Antropologia rzeczy i antropologia historyczna.</w:t>
            </w:r>
          </w:p>
          <w:p w:rsidR="002B5930" w:rsidRDefault="002B5930" w:rsidP="00557F4B">
            <w:pPr>
              <w:pStyle w:val="Akapitzlist"/>
              <w:ind w:left="360"/>
              <w:jc w:val="both"/>
              <w:rPr>
                <w:bCs/>
                <w:lang w:val="pl-PL"/>
              </w:rPr>
            </w:pPr>
          </w:p>
          <w:p w:rsidR="002B5930" w:rsidRPr="00557F4B" w:rsidRDefault="002B5930" w:rsidP="00557F4B">
            <w:pPr>
              <w:pStyle w:val="Akapitzlist"/>
              <w:ind w:left="360"/>
              <w:jc w:val="both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14. Antropologia postmodernistyczna.</w:t>
            </w:r>
          </w:p>
          <w:p w:rsidR="00557F4B" w:rsidRDefault="00557F4B" w:rsidP="00557F4B">
            <w:pPr>
              <w:jc w:val="both"/>
              <w:rPr>
                <w:bCs/>
              </w:rPr>
            </w:pPr>
          </w:p>
          <w:p w:rsidR="00557F4B" w:rsidRDefault="00557F4B" w:rsidP="00557F4B">
            <w:pPr>
              <w:jc w:val="both"/>
              <w:rPr>
                <w:bCs/>
              </w:rPr>
            </w:pPr>
          </w:p>
          <w:p w:rsidR="00557F4B" w:rsidRDefault="00557F4B" w:rsidP="00557F4B">
            <w:pPr>
              <w:jc w:val="both"/>
              <w:rPr>
                <w:bCs/>
              </w:rPr>
            </w:pPr>
          </w:p>
          <w:p w:rsidR="00557F4B" w:rsidRDefault="00557F4B" w:rsidP="00557F4B">
            <w:pPr>
              <w:pStyle w:val="Tekstdymka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ĆWICZENIA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557F4B" w:rsidRDefault="00557F4B" w:rsidP="00557F4B">
            <w:pPr>
              <w:pStyle w:val="Tekstdymka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Przedmiot i metoda antropologii kulturowej.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557F4B" w:rsidRDefault="00557F4B" w:rsidP="00557F4B">
            <w:pPr>
              <w:pStyle w:val="Tekstdymka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Kultura tradycyjna i kultura współczesna.</w:t>
            </w:r>
          </w:p>
          <w:p w:rsidR="00557F4B" w:rsidRDefault="00557F4B" w:rsidP="00557F4B">
            <w:pPr>
              <w:pStyle w:val="Tekstdymka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7F4B" w:rsidRDefault="00557F4B" w:rsidP="00557F4B">
            <w:pPr>
              <w:pStyle w:val="Tekstdymka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Kultura i natura. Kultura i biologia. Kultura zwierząt.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557F4B" w:rsidRDefault="00557F4B" w:rsidP="00557F4B">
            <w:pPr>
              <w:pStyle w:val="Tekstdymka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Antropogeneza. Narodziny kultury.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Kategorie myślenia pierwotnego. Mit.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Kategorie myślenia pierwotnego. Magia i religia.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557F4B" w:rsidRDefault="00557F4B" w:rsidP="00557F4B">
            <w:pPr>
              <w:pStyle w:val="Tekstdymka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Kategorie myślenia pierwotnego. Rytuał.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 Czas w kulturze.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557F4B" w:rsidRDefault="00557F4B" w:rsidP="00557F4B">
            <w:pPr>
              <w:pStyle w:val="Tekstdymka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Przestrzeń w kulturze.</w:t>
            </w:r>
          </w:p>
          <w:p w:rsidR="00557F4B" w:rsidRDefault="00557F4B" w:rsidP="00557F4B">
            <w:pPr>
              <w:pStyle w:val="Tekstdymka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F4B" w:rsidRDefault="00557F4B" w:rsidP="00557F4B">
            <w:pPr>
              <w:pStyle w:val="Tekstdymka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Płeć kulturowa.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Systemy pokrewieństwa w kulturach pierwotnych.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 Ciało w kulturze.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Struktura społeczna w kulturach pierwotnych</w:t>
            </w:r>
          </w:p>
          <w:p w:rsidR="00303F50" w:rsidRDefault="00303F50">
            <w:pPr>
              <w:pStyle w:val="Tekstdymka1"/>
              <w:rPr>
                <w:rFonts w:ascii="Arial" w:hAnsi="Arial" w:cs="Arial"/>
                <w:sz w:val="22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098"/>
        </w:trPr>
        <w:tc>
          <w:tcPr>
            <w:tcW w:w="9622" w:type="dxa"/>
          </w:tcPr>
          <w:p w:rsidR="00557F4B" w:rsidRDefault="00557F4B" w:rsidP="00557F4B">
            <w:pPr>
              <w:jc w:val="both"/>
            </w:pPr>
            <w:r>
              <w:rPr>
                <w:bCs/>
              </w:rPr>
              <w:t xml:space="preserve">1. Wojciech J. Burszta, </w:t>
            </w:r>
            <w:r>
              <w:rPr>
                <w:bCs/>
                <w:i/>
                <w:iCs/>
              </w:rPr>
              <w:t>Antropologia kultury</w:t>
            </w:r>
            <w:r>
              <w:rPr>
                <w:bCs/>
              </w:rPr>
              <w:t>. Warszawa 1998: Zysk i S-ka Wydawnictwo.</w:t>
            </w:r>
          </w:p>
          <w:p w:rsidR="00557F4B" w:rsidRDefault="00557F4B" w:rsidP="00557F4B"/>
          <w:p w:rsidR="00557F4B" w:rsidRDefault="00557F4B" w:rsidP="00557F4B">
            <w:pPr>
              <w:jc w:val="both"/>
            </w:pPr>
            <w:r>
              <w:t xml:space="preserve">2 Alan Barnard, </w:t>
            </w:r>
            <w:r>
              <w:rPr>
                <w:i/>
                <w:iCs/>
              </w:rPr>
              <w:t>Antropologia. Zarys teorii i historii</w:t>
            </w:r>
            <w:r>
              <w:t>. Warszawa 2006: PIW.</w:t>
            </w:r>
          </w:p>
          <w:p w:rsidR="00557F4B" w:rsidRDefault="00557F4B" w:rsidP="00557F4B"/>
          <w:p w:rsidR="00557F4B" w:rsidRDefault="00557F4B" w:rsidP="00557F4B">
            <w:pPr>
              <w:jc w:val="both"/>
            </w:pPr>
            <w:r>
              <w:rPr>
                <w:bCs/>
              </w:rPr>
              <w:t xml:space="preserve">3 Ewa Nowicka, </w:t>
            </w:r>
            <w:r>
              <w:rPr>
                <w:bCs/>
                <w:i/>
              </w:rPr>
              <w:t>Świat człowieka – świat kultury</w:t>
            </w:r>
            <w:r>
              <w:rPr>
                <w:bCs/>
              </w:rPr>
              <w:t>. Warszawa 2007: Wydawnictwo Naukowe PWN.</w:t>
            </w:r>
          </w:p>
          <w:p w:rsidR="00557F4B" w:rsidRDefault="00557F4B" w:rsidP="00557F4B"/>
          <w:p w:rsidR="00303F50" w:rsidRDefault="00557F4B" w:rsidP="00557F4B">
            <w:pPr>
              <w:rPr>
                <w:rFonts w:ascii="Arial" w:hAnsi="Arial" w:cs="Arial"/>
                <w:sz w:val="22"/>
                <w:szCs w:val="16"/>
              </w:rPr>
            </w:pPr>
            <w:r>
              <w:t xml:space="preserve">4. Andrzej K. Paluch, </w:t>
            </w:r>
            <w:r>
              <w:rPr>
                <w:i/>
                <w:iCs/>
              </w:rPr>
              <w:t>Mistrzowie antropologii społecznej. Rzecz o rozwoju teorii antropologicznej.</w:t>
            </w:r>
            <w:r>
              <w:t xml:space="preserve"> Warszawa 1990: Państwowe Wydawnictwo Naukowe.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112"/>
        </w:trPr>
        <w:tc>
          <w:tcPr>
            <w:tcW w:w="9622" w:type="dxa"/>
          </w:tcPr>
          <w:p w:rsidR="00557F4B" w:rsidRDefault="00557F4B" w:rsidP="00557F4B">
            <w:pPr>
              <w:jc w:val="both"/>
            </w:pPr>
            <w:r>
              <w:t xml:space="preserve">1. Philip Bagby, Pojęcie kultury, w: </w:t>
            </w:r>
            <w:r>
              <w:rPr>
                <w:i/>
              </w:rPr>
              <w:t>Antropologia kulturowa. Zagadnienia i wybór tekstów</w:t>
            </w:r>
            <w:r>
              <w:t>, cz. I. red. Andrzej Mencwel, Warszawa 2001</w:t>
            </w:r>
          </w:p>
          <w:p w:rsidR="00557F4B" w:rsidRDefault="00557F4B" w:rsidP="00557F4B">
            <w:pPr>
              <w:jc w:val="both"/>
            </w:pPr>
          </w:p>
          <w:p w:rsidR="00557F4B" w:rsidRDefault="00557F4B" w:rsidP="00557F4B">
            <w:pPr>
              <w:jc w:val="both"/>
            </w:pPr>
            <w:r>
              <w:t xml:space="preserve">2. Robert Parkin, Kraje francuskojęzyczne. Część 2: Durkheim i jego era. Część 3: Marcel Mauss, inni durkheimiści i nurty okresu międzywojennego. W: F. Barth, A. Gingrich, R. Parkin, S. Silverman, </w:t>
            </w:r>
            <w:r>
              <w:rPr>
                <w:i/>
                <w:iCs/>
              </w:rPr>
              <w:t>Antropologia. Jedna dyscyplina, cztery tradycje: brytyjska, niemiecka, francuska i amerykańska.</w:t>
            </w:r>
            <w:r>
              <w:t xml:space="preserve"> Kraków 2007: Wydawnictwo Uniwersytetu Jagiellońskiego, ss. 193-234.</w:t>
            </w:r>
          </w:p>
          <w:p w:rsidR="00557F4B" w:rsidRDefault="00557F4B" w:rsidP="00557F4B"/>
          <w:p w:rsidR="00557F4B" w:rsidRDefault="00557F4B" w:rsidP="00557F4B">
            <w:pPr>
              <w:jc w:val="both"/>
            </w:pPr>
            <w:r>
              <w:rPr>
                <w:bCs/>
              </w:rPr>
              <w:t xml:space="preserve">3. Bronisław Malinowski, Argonauci zachodniego Pacyfiku. W: E. Nowicka i M. Głowacka-Grajper (red.), </w:t>
            </w:r>
            <w:r>
              <w:rPr>
                <w:bCs/>
                <w:i/>
                <w:iCs/>
              </w:rPr>
              <w:t>Świat człowieka – świat kultury. Antologia tekstów klasycznej antropologii.</w:t>
            </w:r>
            <w:r>
              <w:rPr>
                <w:bCs/>
              </w:rPr>
              <w:t xml:space="preserve"> Warszawa 2007: Wydawnictwo Naukowe PWN, ss. 507-552.</w:t>
            </w:r>
          </w:p>
          <w:p w:rsidR="00557F4B" w:rsidRDefault="00557F4B" w:rsidP="00557F4B"/>
          <w:p w:rsidR="00557F4B" w:rsidRDefault="00557F4B" w:rsidP="00557F4B">
            <w:pPr>
              <w:jc w:val="both"/>
            </w:pPr>
            <w:r>
              <w:rPr>
                <w:bCs/>
              </w:rPr>
              <w:t xml:space="preserve">4. Bronisław Malinowski, Kultura. W: B. Malinowski, </w:t>
            </w:r>
            <w:r>
              <w:rPr>
                <w:bCs/>
                <w:i/>
                <w:iCs/>
              </w:rPr>
              <w:t>Jednostka, społeczność, kultura.</w:t>
            </w:r>
            <w:r>
              <w:rPr>
                <w:bCs/>
              </w:rPr>
              <w:t xml:space="preserve"> (Dzieła, t. 8). Warszawa 2000: Wydawnictwo Naukowe PWN, ss. 82-140.</w:t>
            </w:r>
          </w:p>
          <w:p w:rsidR="00557F4B" w:rsidRDefault="00557F4B" w:rsidP="00557F4B"/>
          <w:p w:rsidR="00557F4B" w:rsidRDefault="00557F4B" w:rsidP="00557F4B">
            <w:pPr>
              <w:jc w:val="both"/>
              <w:rPr>
                <w:bCs/>
              </w:rPr>
            </w:pPr>
            <w:r>
              <w:rPr>
                <w:bCs/>
              </w:rPr>
              <w:t xml:space="preserve">5. Ruth Benedict, Różnorodność kultur. W: E. Nowicka i M. Głowacka-Grajper (red.), </w:t>
            </w:r>
            <w:r>
              <w:rPr>
                <w:bCs/>
                <w:i/>
                <w:iCs/>
              </w:rPr>
              <w:t>Świat człowieka – świat kultury. Antologia tekstów klasycznej antropologii.</w:t>
            </w:r>
            <w:r>
              <w:rPr>
                <w:bCs/>
              </w:rPr>
              <w:t xml:space="preserve"> Warszawa 2007: Wydawnictwo Naukowe PWN, ss.357-371.</w:t>
            </w:r>
          </w:p>
          <w:p w:rsidR="00557F4B" w:rsidRDefault="00557F4B" w:rsidP="00557F4B">
            <w:pPr>
              <w:jc w:val="both"/>
              <w:rPr>
                <w:bCs/>
              </w:rPr>
            </w:pPr>
          </w:p>
          <w:p w:rsidR="00557F4B" w:rsidRDefault="00557F4B" w:rsidP="00557F4B">
            <w:pPr>
              <w:jc w:val="both"/>
            </w:pPr>
            <w:r>
              <w:rPr>
                <w:bCs/>
              </w:rPr>
              <w:t xml:space="preserve">6. RalphLinton, Pojęcie kultury. W: E. Nowicka i M. Głowacka-Grajper (red.), </w:t>
            </w:r>
            <w:r>
              <w:rPr>
                <w:bCs/>
                <w:i/>
                <w:iCs/>
              </w:rPr>
              <w:t>Świat człowieka – świat kultury. Antologia tekstów klasycznej antropologii.</w:t>
            </w:r>
            <w:r>
              <w:rPr>
                <w:bCs/>
              </w:rPr>
              <w:t xml:space="preserve"> Warszawa 2007: Wydawnictwo Naukowe PWN, ss. 403-417.</w:t>
            </w:r>
          </w:p>
          <w:p w:rsidR="00557F4B" w:rsidRDefault="00557F4B" w:rsidP="00557F4B"/>
          <w:p w:rsidR="00557F4B" w:rsidRDefault="00557F4B" w:rsidP="00557F4B">
            <w:r>
              <w:t xml:space="preserve">7. Claude Levi-Strauss, Bororo, w: </w:t>
            </w:r>
            <w:r>
              <w:rPr>
                <w:i/>
              </w:rPr>
              <w:t>Świat człowieka – świat kultury. Antologia tekstów klasycznej antropologii</w:t>
            </w:r>
            <w:r>
              <w:t>, red. E. Nowicka i M. Głowacka-Grajper, Warszawa 2009.</w:t>
            </w:r>
          </w:p>
          <w:p w:rsidR="00303F50" w:rsidRDefault="00303F50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Tekstdymka1"/>
        <w:rPr>
          <w:rFonts w:ascii="Arial" w:hAnsi="Arial" w:cs="Arial"/>
          <w:sz w:val="22"/>
        </w:rPr>
      </w:pPr>
    </w:p>
    <w:p w:rsidR="00303F50" w:rsidRDefault="00557F4B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  <w:r w:rsidR="00303F50">
        <w:rPr>
          <w:rFonts w:ascii="Arial" w:hAnsi="Arial" w:cs="Arial"/>
          <w:sz w:val="22"/>
        </w:rPr>
        <w:lastRenderedPageBreak/>
        <w:t>Bilans godzinowy zgodny z CNPS (Całkowity Nakład Pracy Studenta)</w:t>
      </w:r>
      <w:r>
        <w:rPr>
          <w:rFonts w:ascii="Arial" w:hAnsi="Arial" w:cs="Arial"/>
          <w:sz w:val="22"/>
        </w:rPr>
        <w:t xml:space="preserve"> – studia stacjonarne 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58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557F4B" w:rsidTr="00557F4B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557F4B" w:rsidRDefault="00557F4B" w:rsidP="00557F4B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:rsidR="00557F4B" w:rsidRDefault="00557F4B" w:rsidP="00557F4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557F4B" w:rsidRDefault="00557F4B" w:rsidP="00557F4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eastAsia="Calibri"/>
              </w:rPr>
              <w:t>30</w:t>
            </w:r>
          </w:p>
        </w:tc>
      </w:tr>
      <w:tr w:rsidR="00557F4B" w:rsidTr="00557F4B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557F4B" w:rsidRDefault="00557F4B" w:rsidP="00557F4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557F4B" w:rsidRDefault="00557F4B" w:rsidP="00557F4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557F4B" w:rsidRDefault="00557F4B" w:rsidP="00557F4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eastAsia="Calibri"/>
              </w:rPr>
              <w:t>30</w:t>
            </w:r>
          </w:p>
        </w:tc>
      </w:tr>
      <w:tr w:rsidR="00557F4B" w:rsidTr="00557F4B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557F4B" w:rsidRDefault="00557F4B" w:rsidP="00557F4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557F4B" w:rsidRDefault="00557F4B" w:rsidP="00557F4B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557F4B" w:rsidRDefault="00E15AFB" w:rsidP="00557F4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eastAsia="Calibri"/>
              </w:rPr>
              <w:t>1</w:t>
            </w:r>
            <w:r w:rsidR="00557F4B">
              <w:rPr>
                <w:rFonts w:eastAsia="Calibri"/>
              </w:rPr>
              <w:t>0</w:t>
            </w:r>
          </w:p>
        </w:tc>
      </w:tr>
      <w:tr w:rsidR="00557F4B" w:rsidTr="00557F4B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557F4B" w:rsidRDefault="00557F4B" w:rsidP="00557F4B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:rsidR="00557F4B" w:rsidRDefault="00557F4B" w:rsidP="00557F4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557F4B" w:rsidRDefault="00E15AFB" w:rsidP="00557F4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eastAsia="Calibri"/>
              </w:rPr>
              <w:t>2</w:t>
            </w:r>
            <w:r w:rsidR="00557F4B">
              <w:rPr>
                <w:rFonts w:eastAsia="Calibri"/>
              </w:rPr>
              <w:t>0</w:t>
            </w:r>
          </w:p>
        </w:tc>
      </w:tr>
      <w:tr w:rsidR="00557F4B" w:rsidTr="00557F4B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557F4B" w:rsidRDefault="00557F4B" w:rsidP="00557F4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557F4B" w:rsidRDefault="00557F4B" w:rsidP="00557F4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557F4B" w:rsidRDefault="00E15AFB" w:rsidP="00557F4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eastAsia="Calibri"/>
              </w:rPr>
              <w:t>2</w:t>
            </w:r>
            <w:r w:rsidR="00557F4B">
              <w:rPr>
                <w:rFonts w:eastAsia="Calibri"/>
              </w:rPr>
              <w:t>0</w:t>
            </w:r>
          </w:p>
        </w:tc>
      </w:tr>
      <w:tr w:rsidR="00557F4B" w:rsidTr="00557F4B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557F4B" w:rsidRDefault="00557F4B" w:rsidP="00557F4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557F4B" w:rsidRDefault="00557F4B" w:rsidP="00557F4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557F4B" w:rsidRDefault="00557F4B" w:rsidP="00557F4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57F4B" w:rsidTr="00557F4B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557F4B" w:rsidRDefault="00557F4B" w:rsidP="00557F4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557F4B" w:rsidRDefault="00557F4B" w:rsidP="00557F4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557F4B" w:rsidRDefault="00E15AFB" w:rsidP="00557F4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eastAsia="Calibri"/>
              </w:rPr>
              <w:t>15</w:t>
            </w:r>
          </w:p>
        </w:tc>
      </w:tr>
      <w:tr w:rsidR="00557F4B" w:rsidTr="00557F4B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557F4B" w:rsidRDefault="00557F4B" w:rsidP="00557F4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557F4B" w:rsidRDefault="00E15AFB" w:rsidP="00557F4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125</w:t>
            </w:r>
          </w:p>
        </w:tc>
      </w:tr>
      <w:tr w:rsidR="00557F4B" w:rsidTr="00557F4B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557F4B" w:rsidRDefault="00557F4B" w:rsidP="00557F4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557F4B" w:rsidRDefault="00E15AFB" w:rsidP="00557F4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5</w:t>
            </w:r>
          </w:p>
        </w:tc>
      </w:tr>
    </w:tbl>
    <w:p w:rsidR="00303F50" w:rsidRDefault="00303F50">
      <w:pPr>
        <w:pStyle w:val="Tekstdymka1"/>
        <w:rPr>
          <w:rFonts w:ascii="Arial" w:hAnsi="Arial" w:cs="Arial"/>
          <w:sz w:val="22"/>
        </w:rPr>
      </w:pPr>
    </w:p>
    <w:p w:rsidR="00557F4B" w:rsidRDefault="00557F4B" w:rsidP="00557F4B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Bilans godzinowy zgodny z CNPS (Całkowity Nakład Pracy Studenta) – studia niestacjonarne </w:t>
      </w:r>
    </w:p>
    <w:p w:rsidR="00557F4B" w:rsidRDefault="00557F4B" w:rsidP="00557F4B">
      <w:pPr>
        <w:rPr>
          <w:rFonts w:ascii="Arial" w:hAnsi="Arial" w:cs="Arial"/>
          <w:sz w:val="22"/>
          <w:szCs w:val="16"/>
        </w:rPr>
      </w:pPr>
    </w:p>
    <w:tbl>
      <w:tblPr>
        <w:tblW w:w="958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815B31" w:rsidTr="00815B31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815B31" w:rsidRDefault="00815B31" w:rsidP="00815B3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:rsidR="00815B31" w:rsidRDefault="00815B31" w:rsidP="00815B3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815B31" w:rsidRDefault="00815B31" w:rsidP="00815B3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815B31" w:rsidTr="00815B31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815B31" w:rsidRDefault="00815B31" w:rsidP="00815B3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815B31" w:rsidRDefault="00815B31" w:rsidP="00815B3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815B31" w:rsidRDefault="00815B31" w:rsidP="00815B3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15</w:t>
            </w:r>
          </w:p>
        </w:tc>
      </w:tr>
      <w:tr w:rsidR="00815B31" w:rsidTr="00815B31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815B31" w:rsidRDefault="00815B31" w:rsidP="00815B3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815B31" w:rsidRDefault="00815B31" w:rsidP="00815B31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815B31" w:rsidRDefault="00E15AFB" w:rsidP="00815B3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eastAsia="Calibri"/>
              </w:rPr>
              <w:t>2</w:t>
            </w:r>
            <w:r w:rsidR="00815B31">
              <w:rPr>
                <w:rFonts w:eastAsia="Calibri"/>
              </w:rPr>
              <w:t>0</w:t>
            </w:r>
          </w:p>
        </w:tc>
      </w:tr>
      <w:tr w:rsidR="00815B31" w:rsidTr="00815B31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815B31" w:rsidRDefault="00815B31" w:rsidP="00815B3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:rsidR="00815B31" w:rsidRDefault="00815B31" w:rsidP="00815B3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815B31" w:rsidRDefault="00E15AFB" w:rsidP="00815B3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30</w:t>
            </w:r>
          </w:p>
        </w:tc>
      </w:tr>
      <w:tr w:rsidR="00815B31" w:rsidTr="00815B31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815B31" w:rsidRDefault="00815B31" w:rsidP="00815B3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815B31" w:rsidRDefault="00815B31" w:rsidP="00815B3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815B31" w:rsidRDefault="00E15AFB" w:rsidP="00815B3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30</w:t>
            </w:r>
          </w:p>
        </w:tc>
      </w:tr>
      <w:tr w:rsidR="00815B31" w:rsidTr="00815B31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815B31" w:rsidRDefault="00815B31" w:rsidP="00815B3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815B31" w:rsidRDefault="00815B31" w:rsidP="00815B3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815B31" w:rsidRDefault="00815B31" w:rsidP="00815B3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15B31" w:rsidTr="00815B31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815B31" w:rsidRDefault="00815B31" w:rsidP="00815B3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815B31" w:rsidRDefault="00815B31" w:rsidP="00815B3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815B31" w:rsidRDefault="00E15AFB" w:rsidP="00815B3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15</w:t>
            </w:r>
          </w:p>
        </w:tc>
      </w:tr>
      <w:tr w:rsidR="00815B31" w:rsidTr="00815B31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815B31" w:rsidRDefault="00815B31" w:rsidP="00815B3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815B31" w:rsidRDefault="00815B31" w:rsidP="00815B3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eastAsia="Calibri"/>
              </w:rPr>
              <w:t>1</w:t>
            </w:r>
            <w:r w:rsidR="00E15AFB">
              <w:rPr>
                <w:rFonts w:eastAsia="Calibri"/>
              </w:rPr>
              <w:t>25</w:t>
            </w:r>
          </w:p>
        </w:tc>
      </w:tr>
      <w:tr w:rsidR="00815B31" w:rsidTr="00815B31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815B31" w:rsidRDefault="00815B31" w:rsidP="00815B3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815B31" w:rsidRDefault="00E15AFB" w:rsidP="00815B3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5</w:t>
            </w:r>
          </w:p>
        </w:tc>
      </w:tr>
    </w:tbl>
    <w:p w:rsidR="00557F4B" w:rsidRDefault="00557F4B" w:rsidP="00557F4B">
      <w:pPr>
        <w:pStyle w:val="Tekstdymka1"/>
        <w:rPr>
          <w:rFonts w:ascii="Arial" w:hAnsi="Arial" w:cs="Arial"/>
          <w:sz w:val="22"/>
        </w:rPr>
      </w:pPr>
    </w:p>
    <w:p w:rsidR="00557F4B" w:rsidRDefault="00557F4B">
      <w:pPr>
        <w:pStyle w:val="Tekstdymka1"/>
        <w:rPr>
          <w:rFonts w:ascii="Arial" w:hAnsi="Arial" w:cs="Arial"/>
          <w:sz w:val="22"/>
        </w:rPr>
      </w:pPr>
    </w:p>
    <w:sectPr w:rsidR="00557F4B" w:rsidSect="00E26253">
      <w:footerReference w:type="default" r:id="rId8"/>
      <w:headerReference w:type="first" r:id="rId9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659" w:rsidRDefault="00D37659">
      <w:r>
        <w:separator/>
      </w:r>
    </w:p>
  </w:endnote>
  <w:endnote w:type="continuationSeparator" w:id="1">
    <w:p w:rsidR="00D37659" w:rsidRDefault="00D37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F50" w:rsidRDefault="00E33651">
    <w:pPr>
      <w:pStyle w:val="Stopka"/>
      <w:jc w:val="right"/>
    </w:pPr>
    <w:r>
      <w:fldChar w:fldCharType="begin"/>
    </w:r>
    <w:r w:rsidR="00303F50">
      <w:instrText>PAGE   \* MERGEFORMAT</w:instrText>
    </w:r>
    <w:r>
      <w:fldChar w:fldCharType="separate"/>
    </w:r>
    <w:r w:rsidR="00315F02">
      <w:rPr>
        <w:noProof/>
      </w:rPr>
      <w:t>7</w:t>
    </w:r>
    <w:r>
      <w:fldChar w:fldCharType="end"/>
    </w:r>
  </w:p>
  <w:p w:rsidR="00303F50" w:rsidRDefault="00303F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659" w:rsidRDefault="00D37659">
      <w:r>
        <w:separator/>
      </w:r>
    </w:p>
  </w:footnote>
  <w:footnote w:type="continuationSeparator" w:id="1">
    <w:p w:rsidR="00D37659" w:rsidRDefault="00D376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53" w:rsidRPr="00E26253" w:rsidRDefault="00E26253" w:rsidP="00E26253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u w:val="single"/>
      </w:rPr>
      <w:t xml:space="preserve">Załącznik nr </w:t>
    </w:r>
    <w:r w:rsidR="00334F8F">
      <w:rPr>
        <w:rFonts w:ascii="Times New Roman" w:hAnsi="Times New Roman" w:cs="Times New Roman"/>
        <w:sz w:val="20"/>
        <w:szCs w:val="20"/>
        <w:u w:val="single"/>
      </w:rPr>
      <w:t>4</w:t>
    </w:r>
    <w:r>
      <w:rPr>
        <w:rFonts w:ascii="Times New Roman" w:hAnsi="Times New Roman" w:cs="Times New Roman"/>
        <w:sz w:val="20"/>
        <w:szCs w:val="20"/>
        <w:u w:val="single"/>
      </w:rPr>
      <w:t xml:space="preserve"> do zarządzenia nr RD.Z.0211.3.2021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0000003"/>
    <w:multiLevelType w:val="single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doNotUseHTMLParagraphAutoSpacing/>
  </w:compat>
  <w:rsids>
    <w:rsidRoot w:val="00700CD5"/>
    <w:rsid w:val="000126DF"/>
    <w:rsid w:val="000269E2"/>
    <w:rsid w:val="00027707"/>
    <w:rsid w:val="000E0BCF"/>
    <w:rsid w:val="000E16AB"/>
    <w:rsid w:val="00100620"/>
    <w:rsid w:val="00257A2E"/>
    <w:rsid w:val="00293D67"/>
    <w:rsid w:val="002B5930"/>
    <w:rsid w:val="002F0DB2"/>
    <w:rsid w:val="00303F50"/>
    <w:rsid w:val="00315F02"/>
    <w:rsid w:val="0033013B"/>
    <w:rsid w:val="00334F8F"/>
    <w:rsid w:val="00387062"/>
    <w:rsid w:val="003A49DD"/>
    <w:rsid w:val="00434CDD"/>
    <w:rsid w:val="0044050E"/>
    <w:rsid w:val="00533C41"/>
    <w:rsid w:val="00557F4B"/>
    <w:rsid w:val="005D699B"/>
    <w:rsid w:val="006366E6"/>
    <w:rsid w:val="00700CD5"/>
    <w:rsid w:val="00716872"/>
    <w:rsid w:val="00815B31"/>
    <w:rsid w:val="00827D3B"/>
    <w:rsid w:val="00847145"/>
    <w:rsid w:val="008B703C"/>
    <w:rsid w:val="009026FF"/>
    <w:rsid w:val="00984C8D"/>
    <w:rsid w:val="009F04D7"/>
    <w:rsid w:val="00A35A93"/>
    <w:rsid w:val="00A8544F"/>
    <w:rsid w:val="00C406F2"/>
    <w:rsid w:val="00D32FBE"/>
    <w:rsid w:val="00D37659"/>
    <w:rsid w:val="00DB3679"/>
    <w:rsid w:val="00DE2A4C"/>
    <w:rsid w:val="00E15AFB"/>
    <w:rsid w:val="00E1778B"/>
    <w:rsid w:val="00E26253"/>
    <w:rsid w:val="00E33651"/>
    <w:rsid w:val="00EE7223"/>
    <w:rsid w:val="00F40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651"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E33651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E33651"/>
  </w:style>
  <w:style w:type="character" w:styleId="Numerstrony">
    <w:name w:val="page number"/>
    <w:semiHidden/>
    <w:rsid w:val="00E33651"/>
    <w:rPr>
      <w:sz w:val="14"/>
      <w:szCs w:val="14"/>
    </w:rPr>
  </w:style>
  <w:style w:type="paragraph" w:styleId="Tekstpodstawowy">
    <w:name w:val="Body Text"/>
    <w:basedOn w:val="Normalny"/>
    <w:semiHidden/>
    <w:rsid w:val="00E33651"/>
    <w:pPr>
      <w:spacing w:after="120"/>
    </w:pPr>
  </w:style>
  <w:style w:type="paragraph" w:customStyle="1" w:styleId="Podpis1">
    <w:name w:val="Podpis1"/>
    <w:basedOn w:val="Normalny"/>
    <w:rsid w:val="00E33651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rsid w:val="00E3365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  <w:rsid w:val="00E33651"/>
  </w:style>
  <w:style w:type="paragraph" w:styleId="Stopka">
    <w:name w:val="footer"/>
    <w:basedOn w:val="Normalny"/>
    <w:semiHidden/>
    <w:rsid w:val="00E33651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rsid w:val="00E33651"/>
    <w:pPr>
      <w:suppressLineNumbers/>
    </w:pPr>
  </w:style>
  <w:style w:type="paragraph" w:customStyle="1" w:styleId="Nagwektabeli">
    <w:name w:val="Nagłówek tabeli"/>
    <w:basedOn w:val="Zawartotabeli"/>
    <w:rsid w:val="00E3365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E33651"/>
  </w:style>
  <w:style w:type="paragraph" w:customStyle="1" w:styleId="Indeks">
    <w:name w:val="Indeks"/>
    <w:basedOn w:val="Normalny"/>
    <w:rsid w:val="00E33651"/>
    <w:pPr>
      <w:suppressLineNumbers/>
    </w:pPr>
  </w:style>
  <w:style w:type="character" w:styleId="Odwoaniedokomentarza">
    <w:name w:val="annotation reference"/>
    <w:semiHidden/>
    <w:rsid w:val="00E3365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33651"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sid w:val="00E33651"/>
    <w:rPr>
      <w:b/>
      <w:bCs/>
    </w:rPr>
  </w:style>
  <w:style w:type="paragraph" w:customStyle="1" w:styleId="Tekstdymka1">
    <w:name w:val="Tekst dymka1"/>
    <w:basedOn w:val="Normalny"/>
    <w:rsid w:val="00E3365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E33651"/>
    <w:rPr>
      <w:sz w:val="20"/>
      <w:szCs w:val="20"/>
    </w:rPr>
  </w:style>
  <w:style w:type="character" w:styleId="Odwoanieprzypisudolnego">
    <w:name w:val="footnote reference"/>
    <w:semiHidden/>
    <w:rsid w:val="00E33651"/>
    <w:rPr>
      <w:vertAlign w:val="superscript"/>
    </w:rPr>
  </w:style>
  <w:style w:type="character" w:customStyle="1" w:styleId="StopkaZnak">
    <w:name w:val="Stopka Znak"/>
    <w:rsid w:val="00E3365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semiHidden/>
    <w:rsid w:val="00E26253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qFormat/>
    <w:rsid w:val="00557F4B"/>
    <w:pPr>
      <w:widowControl/>
      <w:suppressAutoHyphens w:val="0"/>
      <w:autoSpaceDE/>
      <w:ind w:left="720"/>
    </w:pPr>
    <w:rPr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A2DE8-6837-470C-92D4-A3AB134BF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1415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9888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creator>Barbara Wilk</dc:creator>
  <cp:lastModifiedBy>grzegorz kubinski</cp:lastModifiedBy>
  <cp:revision>4</cp:revision>
  <cp:lastPrinted>2012-01-27T07:28:00Z</cp:lastPrinted>
  <dcterms:created xsi:type="dcterms:W3CDTF">2024-11-02T14:08:00Z</dcterms:created>
  <dcterms:modified xsi:type="dcterms:W3CDTF">2024-11-02T14:08:00Z</dcterms:modified>
</cp:coreProperties>
</file>