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   </w:t>
      </w:r>
    </w:p>
    <w:p>
      <w:pPr>
        <w:pStyle w:val="Normal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i/>
          <w:i/>
        </w:rPr>
      </w:pPr>
      <w:r>
        <w:rPr>
          <w:rFonts w:cs="Times New Roman" w:ascii="Times New Roman" w:hAnsi="Times New Roman"/>
          <w:b/>
          <w:bCs/>
          <w:i/>
        </w:rPr>
      </w:r>
    </w:p>
    <w:p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KARTA KURSU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663" w:type="dxa"/>
        <w:jc w:val="left"/>
        <w:tblInd w:w="-1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2"/>
        <w:gridCol w:w="7680"/>
      </w:tblGrid>
      <w:tr>
        <w:trPr>
          <w:trHeight w:val="395" w:hRule="atLeast"/>
        </w:trPr>
        <w:tc>
          <w:tcPr>
            <w:tcW w:w="19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Nazwa</w:t>
            </w:r>
          </w:p>
        </w:tc>
        <w:tc>
          <w:tcPr>
            <w:tcW w:w="7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Socjologia tożsamości</w:t>
            </w:r>
          </w:p>
        </w:tc>
      </w:tr>
      <w:tr>
        <w:trPr>
          <w:trHeight w:val="379" w:hRule="atLeast"/>
        </w:trPr>
        <w:tc>
          <w:tcPr>
            <w:tcW w:w="19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Nazwa w j. ang.</w:t>
            </w:r>
          </w:p>
        </w:tc>
        <w:tc>
          <w:tcPr>
            <w:tcW w:w="7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Sociology of Identity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70" w:type="dxa"/>
        <w:jc w:val="left"/>
        <w:tblInd w:w="-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91"/>
      </w:tblGrid>
      <w:tr>
        <w:trPr>
          <w:cantSplit w:val="true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widowControl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Koordynator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 Anna Karnat</w:t>
            </w:r>
          </w:p>
        </w:tc>
        <w:tc>
          <w:tcPr>
            <w:tcW w:w="329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widowControl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Zespół dydaktyczny</w:t>
            </w:r>
          </w:p>
        </w:tc>
      </w:tr>
      <w:tr>
        <w:trPr>
          <w:trHeight w:val="344" w:hRule="atLeast"/>
          <w:cantSplit w:val="true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Semestr studiów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29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/>
              <w:t>dr Anna Karnat</w:t>
            </w:r>
          </w:p>
        </w:tc>
      </w:tr>
      <w:tr>
        <w:trPr>
          <w:cantSplit w:val="true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widowControl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291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Opis kursu (cele kształcenia)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40" w:type="dxa"/>
        <w:jc w:val="left"/>
        <w:tblInd w:w="-12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40"/>
      </w:tblGrid>
      <w:tr>
        <w:trPr>
          <w:trHeight w:val="1365" w:hRule="atLeast"/>
        </w:trPr>
        <w:tc>
          <w:tcPr>
            <w:tcW w:w="9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Celem kursu jest prezentacja kategorii tożsamości w jej wymiarze teoriopoznawczym oraz jako konstrukcji wykorzystywanej w procesie samostanowienia jednostek (i grup). Nacisk położony jest na wymiar indywidualny tożsamości, jednak wymiar zbiorowy nie zostaje tu pomięty. Przedmiotem zainteresowania są m.in. takie zagadnienia jak: istota tożsamości </w:t>
              <w:br/>
              <w:t xml:space="preserve">i dylematy definicyjne, różne modele wyjaśniania tożsamości w naukach społecznych, procesy kształtowania tożsamości i jej dynamika (dylemat trwałości i zmienności), wyzwania dla tożsamości w globalizującym się świecie. Zagadnienia te zostaną poddane refleksji       </w:t>
              <w:br/>
              <w:t>na podstawie tekstów źródłowych oraz wybranych przykładach ilustrujących proces formułowania odpowiedzi na pytanie „kim jestem?” („kim jesteśmy?”). Kurs ma nie tylko poszerzać wiedzę studentów w zakresie socjologii tożsamości, ale również inspirować do dyskusji  i pobudzać do krytycznego oglądu użyteczności tej kategorii w procesie samookreślenia jednostek (i grup). Tożsamość jest interesująca jako słowo-klucz do poznawania/dookreślania kondycji człowieka, konstruowania samego/samej siebie (self made man, self made woman) oraz kształtowania rozwoju osobistego w złożonych relacjach współczesnego świata (kontekst późnej nowoczesności - „refleksyjny projekt tożsamości indywidualnej” i ponowoczesności - „jaźń moralna”). Rozumienie i wyjaśnianie procesów kształtowania tożsamości jednostkowej może stać się podstawą dla złożonego procesu indywidualnego samookreślenia się i samostanowienia w świecie.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Warunki wstępne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63" w:type="dxa"/>
        <w:jc w:val="left"/>
        <w:tblInd w:w="-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21"/>
      </w:tblGrid>
      <w:tr>
        <w:trPr>
          <w:trHeight w:val="550" w:hRule="atLeast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Wiedza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77" w:hRule="atLeast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Umiejętności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Kursy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Zaliczenie kursu Podstaw socjologii/Socjologii ogólnej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Efekty </w:t>
      </w:r>
      <w:r>
        <w:rPr>
          <w:rStyle w:val="Odwoaniedokomentarza1"/>
          <w:rFonts w:cs="Times New Roman" w:ascii="Times New Roman" w:hAnsi="Times New Roman"/>
          <w:sz w:val="24"/>
          <w:szCs w:val="24"/>
        </w:rPr>
        <w:t>uczenia się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40" w:type="dxa"/>
        <w:jc w:val="left"/>
        <w:tblInd w:w="-12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79"/>
        <w:gridCol w:w="5293"/>
        <w:gridCol w:w="2468"/>
      </w:tblGrid>
      <w:tr>
        <w:trPr>
          <w:trHeight w:val="930" w:hRule="atLeast"/>
          <w:cantSplit w:val="true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Wiedza</w:t>
            </w:r>
          </w:p>
        </w:tc>
        <w:tc>
          <w:tcPr>
            <w:tcW w:w="5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Efekt </w:t>
            </w:r>
            <w:r>
              <w:rPr>
                <w:rStyle w:val="Odwoaniedokomentarza1"/>
                <w:rFonts w:cs="Times New Roman" w:ascii="Times New Roman" w:hAnsi="Times New Roman"/>
                <w:sz w:val="24"/>
                <w:szCs w:val="24"/>
              </w:rPr>
              <w:t>uczenia się</w:t>
            </w:r>
            <w:r>
              <w:rPr>
                <w:rFonts w:cs="Times New Roman" w:ascii="Times New Roman" w:hAnsi="Times New Roman"/>
              </w:rPr>
              <w:t xml:space="preserve"> dla kursu</w:t>
            </w:r>
          </w:p>
        </w:tc>
        <w:tc>
          <w:tcPr>
            <w:tcW w:w="24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Odniesienie do efektów kierunkowych</w:t>
            </w:r>
          </w:p>
        </w:tc>
      </w:tr>
      <w:tr>
        <w:trPr>
          <w:trHeight w:val="1838" w:hRule="atLeast"/>
          <w:cantSplit w:val="true"/>
        </w:trPr>
        <w:tc>
          <w:tcPr>
            <w:tcW w:w="1979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SimSun; 宋体" w:cs="Times New Roman" w:ascii="Times New Roman" w:hAnsi="Times New Roman"/>
              </w:rPr>
              <w:t>W01 Posiada wiedzę na temat różnych sposobów rozumienia pojęcia „tożsamość jednostki”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SimSun; 宋体" w:cs="Times New Roman" w:ascii="Times New Roman" w:hAnsi="Times New Roman"/>
              </w:rPr>
              <w:t>W02 Zna założenia wybranych socjologicznych teorii kształtowania tożsamości jednostkowej i zbiorowej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K_W03,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K_W11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K_W13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40" w:type="dxa"/>
        <w:jc w:val="left"/>
        <w:tblInd w:w="-12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85"/>
        <w:gridCol w:w="5245"/>
        <w:gridCol w:w="2510"/>
      </w:tblGrid>
      <w:tr>
        <w:trPr>
          <w:trHeight w:val="939" w:hRule="atLeast"/>
          <w:cantSplit w:val="true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Efekt uczenia się dla kursu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Odniesienie do efektów kierunkowych</w:t>
            </w:r>
          </w:p>
        </w:tc>
      </w:tr>
      <w:tr>
        <w:trPr>
          <w:trHeight w:val="2116" w:hRule="atLeast"/>
          <w:cantSplit w:val="true"/>
        </w:trPr>
        <w:tc>
          <w:tcPr>
            <w:tcW w:w="1985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U01 Potrafi identyfikować i analizować procesy kształtowania tożsamości we współczesnych społeczeństwach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</w:rPr>
              <w:t>K_U06, K_U08, K_U10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40" w:type="dxa"/>
        <w:jc w:val="left"/>
        <w:tblInd w:w="-12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85"/>
        <w:gridCol w:w="5245"/>
        <w:gridCol w:w="2510"/>
      </w:tblGrid>
      <w:tr>
        <w:trPr>
          <w:trHeight w:val="800" w:hRule="atLeast"/>
          <w:cantSplit w:val="true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Efekt uczenia się dla kursu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Odniesienie do efektów kierunkowych</w:t>
            </w:r>
          </w:p>
        </w:tc>
      </w:tr>
      <w:tr>
        <w:trPr>
          <w:trHeight w:val="1984" w:hRule="atLeast"/>
          <w:cantSplit w:val="true"/>
        </w:trPr>
        <w:tc>
          <w:tcPr>
            <w:tcW w:w="1985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K01 Ma świadomość, że tożsamość jednostki jest czymś w istotny sposób związanym z kulturą i społeczeństwem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K02 Dostrzega wartość analizowania procesów tworzenia się tożsamości w kontekście własnego rozwoju osobowego i społecznego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</w:rPr>
              <w:t>K_K01, K_K02, K_K04, K_K05, K_K07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63" w:type="dxa"/>
        <w:jc w:val="left"/>
        <w:tblInd w:w="-1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08"/>
        <w:gridCol w:w="1228"/>
        <w:gridCol w:w="850"/>
        <w:gridCol w:w="270"/>
        <w:gridCol w:w="863"/>
        <w:gridCol w:w="315"/>
        <w:gridCol w:w="820"/>
        <w:gridCol w:w="284"/>
        <w:gridCol w:w="849"/>
        <w:gridCol w:w="284"/>
        <w:gridCol w:w="853"/>
        <w:gridCol w:w="284"/>
        <w:gridCol w:w="847"/>
        <w:gridCol w:w="307"/>
      </w:tblGrid>
      <w:tr>
        <w:trPr>
          <w:trHeight w:val="424" w:hRule="exact"/>
          <w:cantSplit w:val="true"/>
        </w:trPr>
        <w:tc>
          <w:tcPr>
            <w:tcW w:w="9662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DBE5F1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ind w:hanging="0" w:left="45" w:right="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Organizacja</w:t>
            </w:r>
          </w:p>
        </w:tc>
      </w:tr>
      <w:tr>
        <w:trPr>
          <w:trHeight w:val="654" w:hRule="atLeast"/>
          <w:cantSplit w:val="true"/>
        </w:trPr>
        <w:tc>
          <w:tcPr>
            <w:tcW w:w="1608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DBE5F1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Forma zajęć</w:t>
            </w:r>
          </w:p>
        </w:tc>
        <w:tc>
          <w:tcPr>
            <w:tcW w:w="1228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Wykład</w:t>
            </w:r>
          </w:p>
          <w:p>
            <w:pPr>
              <w:pStyle w:val="Zawartotabeli"/>
              <w:widowControl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(W)</w:t>
            </w:r>
          </w:p>
        </w:tc>
        <w:tc>
          <w:tcPr>
            <w:tcW w:w="6826" w:type="dxa"/>
            <w:gridSpan w:val="1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Ćwiczenia w grupach</w:t>
            </w:r>
          </w:p>
        </w:tc>
      </w:tr>
      <w:tr>
        <w:trPr>
          <w:trHeight w:val="477" w:hRule="atLeast"/>
          <w:cantSplit w:val="true"/>
        </w:trPr>
        <w:tc>
          <w:tcPr>
            <w:tcW w:w="1608" w:type="dxa"/>
            <w:vMerge w:val="continue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vMerge w:val="continue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</w:t>
            </w:r>
          </w:p>
        </w:tc>
        <w:tc>
          <w:tcPr>
            <w:tcW w:w="2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6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</w:t>
            </w:r>
          </w:p>
        </w:tc>
        <w:tc>
          <w:tcPr>
            <w:tcW w:w="3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</w:t>
            </w:r>
          </w:p>
        </w:tc>
        <w:tc>
          <w:tcPr>
            <w:tcW w:w="30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99" w:hRule="atLeast"/>
        </w:trPr>
        <w:tc>
          <w:tcPr>
            <w:tcW w:w="160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DBE5F1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Liczba godzin</w:t>
            </w:r>
          </w:p>
        </w:tc>
        <w:tc>
          <w:tcPr>
            <w:tcW w:w="122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12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15</w:t>
            </w:r>
          </w:p>
        </w:tc>
        <w:tc>
          <w:tcPr>
            <w:tcW w:w="117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62" w:hRule="atLeast"/>
        </w:trPr>
        <w:tc>
          <w:tcPr>
            <w:tcW w:w="160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22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7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Zawartotabeli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Opis metod prowadzenia zajęć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22" w:type="dxa"/>
        <w:jc w:val="left"/>
        <w:tblInd w:w="-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22"/>
      </w:tblGrid>
      <w:tr>
        <w:trPr>
          <w:trHeight w:val="1920" w:hRule="atLeast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Wykład prowadzony jest w formie interaktywnej (włączenie w tok wykładu aktywności studentów: komentarze, pytania, ilustrowanie przykładami omawianych problemów i zjawisk, wykorzystanie doświadczenia wewnętrznego i indywidualnego oglądu świata itp.). </w:t>
              <w:br/>
              <w:t>Ćwiczenia zorganizowane są przede wszystkim wokół dyskusji dotyczącej problemów zawartych w tekstach źródłowych (oparcie się na lekturze i notatkach własnych studentów z opracowania podstawowych i dodatkowych tekstów z zakresu kursu).</w:t>
            </w:r>
          </w:p>
        </w:tc>
      </w:tr>
    </w:tbl>
    <w:p>
      <w:pPr>
        <w:pStyle w:val="Zawartotabeli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Formy sprawdzania efektów </w:t>
      </w:r>
      <w:r>
        <w:rPr>
          <w:rStyle w:val="Odwoaniedokomentarza1"/>
          <w:rFonts w:cs="Times New Roman" w:ascii="Times New Roman" w:hAnsi="Times New Roman"/>
          <w:sz w:val="24"/>
          <w:szCs w:val="24"/>
        </w:rPr>
        <w:t>uczenia się</w:t>
      </w:r>
    </w:p>
    <w:p>
      <w:pPr>
        <w:pStyle w:val="Zawartotabeli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80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8"/>
        <w:gridCol w:w="666"/>
        <w:gridCol w:w="562"/>
        <w:gridCol w:w="769"/>
        <w:gridCol w:w="665"/>
        <w:gridCol w:w="666"/>
        <w:gridCol w:w="725"/>
      </w:tblGrid>
      <w:tr>
        <w:trPr>
          <w:trHeight w:val="1616" w:hRule="atLeast"/>
          <w:cantSplit w:val="true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 – </w:t>
            </w:r>
            <w:r>
              <w:rPr>
                <w:rFonts w:cs="Times New Roman" w:ascii="Times New Roman" w:hAnsi="Times New Roman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Projekt indywidualny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Udział w dyskusji</w:t>
            </w:r>
          </w:p>
        </w:tc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Egzamin pisemny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DBE5F1" w:val="clear"/>
            <w:textDirection w:val="btLr"/>
            <w:vAlign w:val="center"/>
          </w:tcPr>
          <w:p>
            <w:pPr>
              <w:pStyle w:val="Normal"/>
              <w:widowControl w:val="false"/>
              <w:ind w:hanging="0"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Inne</w:t>
            </w:r>
          </w:p>
        </w:tc>
      </w:tr>
      <w:tr>
        <w:trPr>
          <w:trHeight w:val="244" w:hRule="atLeast"/>
          <w:cantSplit w:val="true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Tekstdymka2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9" w:hRule="atLeast"/>
          <w:cantSplit w:val="true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9" w:hRule="atLeast"/>
          <w:cantSplit w:val="true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9" w:hRule="atLeast"/>
          <w:cantSplit w:val="true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9" w:hRule="atLeast"/>
          <w:cantSplit w:val="true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51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41"/>
        <w:gridCol w:w="1981"/>
        <w:gridCol w:w="1985"/>
        <w:gridCol w:w="1987"/>
        <w:gridCol w:w="2157"/>
      </w:tblGrid>
      <w:tr>
        <w:trPr>
          <w:trHeight w:val="259" w:hRule="atLeast"/>
          <w:cantSplit w:val="true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Odwoaniedokomentarza1"/>
                <w:rFonts w:cs="Times New Roman" w:ascii="Times New Roman" w:hAnsi="Times New Roman"/>
                <w:sz w:val="24"/>
                <w:szCs w:val="24"/>
              </w:rPr>
              <w:t>Kryteria oceny</w:t>
            </w:r>
          </w:p>
        </w:tc>
        <w:tc>
          <w:tcPr>
            <w:tcW w:w="1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agwkitablic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Na ocenę 2 student: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 ocenę 3 student:</w:t>
            </w:r>
          </w:p>
        </w:tc>
        <w:tc>
          <w:tcPr>
            <w:tcW w:w="198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 ocenę 4 student: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 ocenę 5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student:</w:t>
            </w:r>
          </w:p>
        </w:tc>
      </w:tr>
      <w:tr>
        <w:trPr>
          <w:trHeight w:val="244" w:hRule="atLeast"/>
          <w:cantSplit w:val="true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Wiedza</w:t>
            </w:r>
          </w:p>
        </w:tc>
        <w:tc>
          <w:tcPr>
            <w:tcW w:w="1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Student/ka NIE zna najważniejszych pojęć i teorii z zakresu socjologii tożsamości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Student/ka zna na elementarnym poziomie najważniejsze pojęcia i teorie z zakresu socjologii tożsamości</w:t>
            </w:r>
          </w:p>
        </w:tc>
        <w:tc>
          <w:tcPr>
            <w:tcW w:w="198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Student/ka dobrze zna najważniejsze pojęcia i teorie z zakresu socjologii tożsamości i potrafi je krytycznie analizować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Student/ka bardzo dobrze zna najważniejsze pojęcia i teorie z zakresu socjologii tożsamości, potrafi je krytycznie analizować i konfrontować ze sobą oraz odnosić do rzeczywistości społecznej</w:t>
            </w:r>
          </w:p>
        </w:tc>
      </w:tr>
      <w:tr>
        <w:trPr>
          <w:trHeight w:val="259" w:hRule="atLeast"/>
          <w:cantSplit w:val="true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Umiejętności</w:t>
            </w:r>
          </w:p>
        </w:tc>
        <w:tc>
          <w:tcPr>
            <w:tcW w:w="1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 NIE identyfikuje zjawisk społecznych jako zjawisk tworzenia tożsamości jednostkowej i zbiorowej.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 na elementarnym poziomie rozpoznaje zjawiska społeczne jako zjawiska współtworzące tożsamość jednostek i grup</w:t>
            </w:r>
          </w:p>
        </w:tc>
        <w:tc>
          <w:tcPr>
            <w:tcW w:w="198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 dobrze rozpoznaje zjawiska społeczne jako zjawiska współtworzące tożsamość jednostek i grup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 bardzo dobrze rozpoznaje zjawiska społeczne jako zjawiska współtworzące tożsamość jednostek i grup oraz potrafi je krytycznie analizować.</w:t>
            </w:r>
          </w:p>
        </w:tc>
      </w:tr>
      <w:tr>
        <w:trPr>
          <w:trHeight w:val="259" w:hRule="atLeast"/>
          <w:cantSplit w:val="true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Kompetencje społeczne</w:t>
            </w:r>
          </w:p>
        </w:tc>
        <w:tc>
          <w:tcPr>
            <w:tcW w:w="1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 NIE ma świadomości, że procesy społeczne wpływają na kształtowanie się tożsamości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 ma świadomość, że procesy społeczne wpływają na kształtowanie się tożsamości</w:t>
            </w:r>
          </w:p>
        </w:tc>
        <w:tc>
          <w:tcPr>
            <w:tcW w:w="198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 ma świadomość, że procesy społeczne wpływają na kształtowanie się tożsamości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 ma świadomość, że procesy społeczne wpływają na kształtowanie się tożsamości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63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21"/>
      </w:tblGrid>
      <w:tr>
        <w:trPr>
          <w:trHeight w:val="1089" w:hRule="atLeast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Uwagi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57" w:after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Treści merytoryczne (wykaz tematów)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22" w:type="dxa"/>
        <w:jc w:val="left"/>
        <w:tblInd w:w="-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22"/>
      </w:tblGrid>
      <w:tr>
        <w:trPr>
          <w:trHeight w:val="1136" w:hRule="atLeast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Tekstdymka1"/>
              <w:widowControl w:val="false"/>
              <w:snapToGrid w:val="false"/>
              <w:ind w:hanging="0"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Tematyka wykładów:</w:t>
              <w:br/>
              <w:br/>
              <w:t xml:space="preserve">1. Wprowadzenie do socjologicznego ujęcia tożsamości. Wymiary (indywidualny i zbiorowy) oraz aspekty (czynny i bierny) tożsamości. Podstawowe pojęcia i modele teoretyczne wyjaśniania tożsamości jednostkowej w naukach społecznych (egologiczny, zdrowia tożsamości, interakcyjny, światopoglądowy).  </w:t>
              <w:br/>
              <w:t xml:space="preserve">2. Teorie jaźni i tożsamości – kształtowanie się tradycji i jej rozwój (Ch. Cooley, G. H. Mead, S. Stryker, G. J. McCall i J. L. Simmons). Szkoła Iwowa i Szkoła Chicagowska.  </w:t>
              <w:br/>
              <w:t xml:space="preserve">3. Cywilizacja Zachodu i tożsamość jednostkowa: „logika bycia sobą” (V. Kavolis), „jaźń rzeczywista” (R. Turner), semiotyka tożsamości (R. H. Brown), tożsamość kulturowa (J. Friedman). </w:t>
              <w:br/>
              <w:t xml:space="preserve">4. Kontekst społeczeństwa późnonowoczesnego. Konstruktywizm w podejściu do tożsamości jednostkowej (koncepcja A. Giddensa). </w:t>
              <w:br/>
              <w:t xml:space="preserve">5. Tożsamość jako odkrycie i jako zadanie (aspekt etyczny tożsamości). Ponowoczesność (płynna nowoczesność) i ponowoczesne wzory osobowe.  Tożsamość jako towar w społeczeństwie konsumpcyjnym (Z. Bauman).  </w:t>
              <w:br/>
              <w:t xml:space="preserve">6. Podmiot moralny (relacyjny) w społeczeństwie wieloznacznym (Z. Bauman). Tożsamość </w:t>
              <w:br/>
              <w:t xml:space="preserve">w społeczeństwie hybrydowym, osobowość Proteuszowa.      </w:t>
              <w:br/>
              <w:t xml:space="preserve">7. Od tożsamości do identyfikacji – polityki tożsamościowe w globalizującym się świecie. </w:t>
              <w:br/>
              <w:t xml:space="preserve"> </w:t>
              <w:br/>
              <w:t>Tematyka ćwiczeń:</w:t>
              <w:br/>
              <w:br/>
              <w:t xml:space="preserve">1. Istota tożsamości i jej cechy konstytutywne. Socjologiczny wgląd w zagadnienie tożsamości. Jaźń, Self, Ja podmiotowe i Ja przedmiotowe, koncepcja siebie (self-conception) i obraz siebie (self-image). </w:t>
              <w:br/>
              <w:t xml:space="preserve">2. Pojęcie i składniki Ja, idealne Ja.     </w:t>
              <w:br/>
              <w:t>4. Refleksyjny projekt tożsamości jednostkowej w społeczeństwie późno nowoczesnym (A. Giddens, J. Rainwater)</w:t>
              <w:br/>
              <w:t xml:space="preserve">5. Tożsamość jako odkrycie i jako zadanie etyczne. Wzory osobowościowe: pielgrzym, turysta, włóczęga, gracz, spacerowicz (Z. Bauman). </w:t>
              <w:br/>
              <w:t>6. Jednostkowy i zbiorowy wymiar tożsamości. Rozważania na temat tożsamości narodowych/etnicznych (L. Kołakowski, Z. Bokszański)</w:t>
              <w:br/>
              <w:t>7. Historyczność człowieka i polityka tożsamościowa (F. Fukuyama)</w:t>
              <w:br/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Wykaz literatury podstawowej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22" w:type="dxa"/>
        <w:jc w:val="left"/>
        <w:tblInd w:w="-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22"/>
      </w:tblGrid>
      <w:tr>
        <w:trPr>
          <w:trHeight w:val="1098" w:hRule="atLeast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Wykłady:</w:t>
              <w:br/>
              <w:br/>
              <w:t>Turner J. H., Struktura teorii socjologicznej. Wydanie nowe, przeł. G. Woroniecka i in., Warszawa 2004, PWN, fragmenty</w:t>
              <w:br/>
              <w:t xml:space="preserve">Bokszański Z., Tożsamości zbiorowe, Wydawnictwo Naukowe PWN, Warszawa 2006, fragmenty: Rozdziały 1, 2, 3, 8, 9.    </w:t>
              <w:br/>
              <w:t xml:space="preserve">Paleczny T., Socjologia tożsamości, Oficyna Wydawnicza AFM, Kraków 2008, fragmenty: Rozdziały 1, 2, 5. </w:t>
              <w:br/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Ćwiczenia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:</w:t>
              <w:br/>
              <w:br/>
            </w:r>
            <w:r>
              <w:rPr>
                <w:rFonts w:cs="Times New Roman" w:ascii="Times New Roman" w:hAnsi="Times New Roman"/>
              </w:rPr>
              <w:t>1. Taylor Ch., Źródła współczesnej tożsamości [w:] Tożsamość w czasach zmiany. Rozmowy w Castel Gandolfo (red.) Michalski K., Znak, Fundacja im. Stefana Batorego, Kraków-Warszawa 1995, ss. 9-21.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 Turner R. H., Koncepcja siebie w interakcji społecznej [w:] Współczesne teorie socjologiczne, (red.) Jasińska-Kania A., Nijakowski L. M., Szacki J., Ziółkowski M., (red.), Wydawnictwo Naukowe Scholar, Warszawa 2006, Tom 1, ss. 272-284.     </w:t>
              <w:br/>
              <w:t xml:space="preserve">3. Giddens A., Nowoczesność i tożsamość. „Ja” i społeczeństwo w epoce późnej nowoczesności, przeł. A. Szulżycka, PWN, Warszawa 2001, ss. 98-122.   </w:t>
              <w:br/>
              <w:t xml:space="preserve">4. Bauman Z., Dwa szkice o moralności ponowoczesnej, Instytut Kultury, Warszawa 1994, fragmenty  </w:t>
              <w:br/>
              <w:t xml:space="preserve">Bauman Z., Ponowoczesność jako źródło cierpień, Sic! Warszawa 2000, fragmenty    </w:t>
              <w:br/>
              <w:t xml:space="preserve">5. Kołakowski L., </w:t>
            </w:r>
            <w:r>
              <w:rPr>
                <w:i/>
                <w:iCs/>
                <w:sz w:val="22"/>
              </w:rPr>
              <w:t xml:space="preserve">O tożsamości zbiorowej </w:t>
            </w:r>
            <w:r>
              <w:rPr>
                <w:sz w:val="22"/>
              </w:rPr>
              <w:t xml:space="preserve">[w:] Michalski Krzysztof (red.) </w:t>
            </w:r>
            <w:r>
              <w:rPr>
                <w:i/>
                <w:iCs/>
                <w:sz w:val="22"/>
              </w:rPr>
              <w:t xml:space="preserve">Tożsamość w czasach zmiany. </w:t>
              <w:br/>
              <w:t xml:space="preserve"> Rozmowy w Castel Gandolfo.</w:t>
            </w:r>
            <w:r>
              <w:rPr>
                <w:sz w:val="22"/>
              </w:rPr>
              <w:t xml:space="preserve"> Kraków 1995, Społeczny Instytut Wydawniczy Znak, Warszawa: Fundacja </w:t>
              <w:br/>
              <w:t xml:space="preserve"> im. Stefana Batorego, ss. 44-55.     </w:t>
              <w:br/>
              <w:t>6</w:t>
            </w:r>
            <w:r>
              <w:rPr>
                <w:rFonts w:cs="Times New Roman" w:ascii="Times New Roman" w:hAnsi="Times New Roman"/>
              </w:rPr>
              <w:t xml:space="preserve">. Tischner J., Etyka solidarności oraz Homo Sovieticus i Etyka solidarności, Wydawnictwo Znak, Kraków 1992, fragmenty. </w:t>
              <w:br/>
              <w:t>7. Zinowiew A., Homo sovieticus, Polonia 1980, fragmenty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napToGrid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Wykaz literatury uzupełniającej:</w:t>
      </w:r>
      <w:r>
        <w:rPr>
          <w:sz w:val="22"/>
        </w:rPr>
        <w:t xml:space="preserve"> </w:t>
      </w:r>
      <w:r>
        <w:rPr>
          <w:rFonts w:cs="Times New Roman" w:ascii="Times New Roman" w:hAnsi="Times New Roman"/>
        </w:rPr>
        <w:b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22" w:type="dxa"/>
        <w:jc w:val="left"/>
        <w:tblInd w:w="-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22"/>
      </w:tblGrid>
      <w:tr>
        <w:trPr>
          <w:trHeight w:val="1112" w:hRule="atLeast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TekstLiteratura"/>
              <w:widowControl w:val="false"/>
              <w:numPr>
                <w:ilvl w:val="0"/>
                <w:numId w:val="0"/>
              </w:numPr>
              <w:ind w:hanging="0" w:left="0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Borowik I., Leszczyńska K., </w:t>
            </w:r>
            <w:r>
              <w:rPr>
                <w:i/>
                <w:color w:themeColor="text1" w:val="000000"/>
                <w:sz w:val="24"/>
              </w:rPr>
              <w:t xml:space="preserve">Wokół tożsamości: teorie, wymiary, ekspresje, </w:t>
            </w:r>
            <w:r>
              <w:rPr>
                <w:color w:themeColor="text1" w:val="000000"/>
                <w:sz w:val="24"/>
              </w:rPr>
              <w:t>Zakład Wydawniczy Nomos, Kraków 2008, fragmenty.</w:t>
            </w:r>
          </w:p>
          <w:p>
            <w:pPr>
              <w:pStyle w:val="TekstLiteratura"/>
              <w:widowControl w:val="false"/>
              <w:numPr>
                <w:ilvl w:val="0"/>
                <w:numId w:val="0"/>
              </w:numPr>
              <w:ind w:hanging="0" w:left="0"/>
              <w:rPr>
                <w:color w:themeColor="text1" w:val="000000"/>
                <w:sz w:val="24"/>
              </w:rPr>
            </w:pPr>
            <w:r>
              <w:rPr>
                <w:color w:val="000000"/>
                <w:sz w:val="24"/>
              </w:rPr>
              <w:t xml:space="preserve">Fukuyama F., </w:t>
            </w:r>
            <w:r>
              <w:rPr>
                <w:color w:themeColor="text1" w:val="000000"/>
                <w:sz w:val="24"/>
              </w:rPr>
              <w:t xml:space="preserve">Tożsamość. </w:t>
            </w:r>
            <w:r>
              <w:rPr>
                <w:i/>
                <w:color w:themeColor="text1" w:val="000000"/>
                <w:sz w:val="24"/>
              </w:rPr>
              <w:t>Współczesna polityka tożsamościowa i walka o uznanie</w:t>
            </w:r>
            <w:r>
              <w:rPr>
                <w:color w:themeColor="text1" w:val="000000"/>
                <w:sz w:val="24"/>
              </w:rPr>
              <w:t>, tłum. Pyka J., Dom Wydawniczy Rebis, Poznań 2019.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Ricoeur P., O sobie samym jako innym, PWN, 2003.   </w:t>
              <w:br/>
            </w:r>
            <w:r>
              <w:rPr>
                <w:rFonts w:cs="Times New Roman" w:ascii="Times New Roman" w:hAnsi="Times New Roman"/>
              </w:rPr>
              <w:t>Rosner K., Narracja, tożsamość i czas, Universitas, Kraków 2003.</w:t>
              <w:br/>
            </w:r>
            <w:r>
              <w:rPr>
                <w:rFonts w:cs="Times New Roman" w:ascii="Times New Roman" w:hAnsi="Times New Roman"/>
                <w:color w:val="000000"/>
              </w:rPr>
              <w:t xml:space="preserve">Skarga B., Tożsamość i różnica. Eseje metafizyczne, </w:t>
            </w:r>
            <w:r>
              <w:rPr>
                <w:sz w:val="22"/>
              </w:rPr>
              <w:t>Wydawnictwo Znak, Kraków 1997.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kstdymka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dymka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Bilans godzinowy zgodny z CNPS (Całkowity Nakład Pracy Studenta)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82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66"/>
        <w:gridCol w:w="5750"/>
        <w:gridCol w:w="1166"/>
      </w:tblGrid>
      <w:tr>
        <w:trPr>
          <w:trHeight w:val="334" w:hRule="atLeast"/>
          <w:cantSplit w:val="true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Wykład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</w:tr>
      <w:tr>
        <w:trPr>
          <w:trHeight w:val="332" w:hRule="atLeast"/>
          <w:cantSplit w:val="true"/>
        </w:trPr>
        <w:tc>
          <w:tcPr>
            <w:tcW w:w="2766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Konwersatorium (ćwiczenia, laboratorium itd.)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15</w:t>
            </w:r>
          </w:p>
        </w:tc>
      </w:tr>
      <w:tr>
        <w:trPr>
          <w:trHeight w:val="670" w:hRule="atLeast"/>
          <w:cantSplit w:val="true"/>
        </w:trPr>
        <w:tc>
          <w:tcPr>
            <w:tcW w:w="2766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Pozostałe godziny kontaktu studenta z prowadzącym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10</w:t>
            </w:r>
          </w:p>
        </w:tc>
      </w:tr>
      <w:tr>
        <w:trPr>
          <w:trHeight w:val="348" w:hRule="atLeast"/>
          <w:cantSplit w:val="true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Lektura w ramach przygotowania do zajęć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trHeight w:val="710" w:hRule="atLeast"/>
          <w:cantSplit w:val="true"/>
        </w:trPr>
        <w:tc>
          <w:tcPr>
            <w:tcW w:w="2766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Przygotowanie krótkiej pracy pisemnej lub referatu po zapoznaniu się z niezbędną literaturą przedmiotu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</w:tr>
      <w:tr>
        <w:trPr>
          <w:trHeight w:val="731" w:hRule="atLeast"/>
          <w:cantSplit w:val="true"/>
        </w:trPr>
        <w:tc>
          <w:tcPr>
            <w:tcW w:w="2766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Przygotowanie projektu lub prezentacji na podany temat (praca w grupie)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>
          <w:trHeight w:val="365" w:hRule="atLeast"/>
          <w:cantSplit w:val="true"/>
        </w:trPr>
        <w:tc>
          <w:tcPr>
            <w:tcW w:w="2766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Przygotowanie do egzaminu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5" w:hRule="atLeast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Ogółem bilans czasu pracy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75</w:t>
            </w:r>
          </w:p>
        </w:tc>
      </w:tr>
      <w:tr>
        <w:trPr>
          <w:trHeight w:val="392" w:hRule="atLeast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Ilość punktów ECTS w zależności od przyjętego przelicznika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hanging="0"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</w:tbl>
    <w:p>
      <w:pPr>
        <w:pStyle w:val="Tekstdymka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0658"/>
    <w:pPr>
      <w:widowControl w:val="false"/>
      <w:suppressAutoHyphens w:val="true"/>
      <w:bidi w:val="0"/>
      <w:spacing w:lineRule="auto" w:line="240" w:before="0" w:after="0"/>
      <w:jc w:val="left"/>
    </w:pPr>
    <w:rPr>
      <w:rFonts w:ascii="Nimbus Roman No9 L" w:hAnsi="Nimbus Roman No9 L" w:eastAsia="DejaVu Sans" w:cs="DejaVu San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link w:val="Nagwek1Znak"/>
    <w:qFormat/>
    <w:rsid w:val="00670658"/>
    <w:pPr>
      <w:keepNext w:val="true"/>
      <w:tabs>
        <w:tab w:val="clear" w:pos="708"/>
        <w:tab w:val="left" w:pos="0" w:leader="none"/>
      </w:tabs>
      <w:ind w:hanging="432" w:left="432"/>
      <w:jc w:val="center"/>
      <w:outlineLvl w:val="0"/>
    </w:pPr>
    <w:rPr>
      <w:rFonts w:ascii="Verdana" w:hAnsi="Verdana" w:cs="Verdana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670658"/>
    <w:rPr>
      <w:rFonts w:ascii="Verdana" w:hAnsi="Verdana" w:eastAsia="DejaVu Sans" w:cs="Verdana"/>
      <w:kern w:val="2"/>
      <w:sz w:val="28"/>
      <w:szCs w:val="28"/>
      <w:lang w:eastAsia="zh-CN" w:bidi="hi-IN"/>
    </w:rPr>
  </w:style>
  <w:style w:type="character" w:styleId="Odwoaniedokomentarza1" w:customStyle="1">
    <w:name w:val="Odwołanie do komentarza1"/>
    <w:qFormat/>
    <w:rsid w:val="00670658"/>
    <w:rPr>
      <w:sz w:val="16"/>
      <w:szCs w:val="16"/>
    </w:rPr>
  </w:style>
  <w:style w:type="character" w:styleId="TekstpodstawowyZnak" w:customStyle="1">
    <w:name w:val="Tekst podstawowy Znak"/>
    <w:basedOn w:val="DefaultParagraphFont"/>
    <w:qFormat/>
    <w:rsid w:val="00670658"/>
    <w:rPr>
      <w:rFonts w:ascii="Nimbus Roman No9 L" w:hAnsi="Nimbus Roman No9 L" w:eastAsia="DejaVu Sans" w:cs="DejaVu Sans"/>
      <w:kern w:val="2"/>
      <w:sz w:val="24"/>
      <w:szCs w:val="24"/>
      <w:lang w:eastAsia="zh-CN" w:bidi="hi-IN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670658"/>
    <w:rPr>
      <w:rFonts w:ascii="Tahoma" w:hAnsi="Tahoma" w:eastAsia="DejaVu Sans" w:cs="Mangal"/>
      <w:kern w:val="2"/>
      <w:sz w:val="16"/>
      <w:szCs w:val="14"/>
      <w:lang w:eastAsia="zh-CN" w:bidi="hi-IN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455b23"/>
    <w:rPr>
      <w:rFonts w:ascii="Nimbus Roman No9 L" w:hAnsi="Nimbus Roman No9 L" w:eastAsia="DejaVu Sans" w:cs="Mangal"/>
      <w:kern w:val="2"/>
      <w:sz w:val="20"/>
      <w:szCs w:val="18"/>
      <w:lang w:eastAsia="zh-CN" w:bidi="hi-I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5b23"/>
    <w:rPr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link w:val="TekstpodstawowyZnak"/>
    <w:rsid w:val="00670658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Tekstdymka1" w:customStyle="1">
    <w:name w:val="Tekst dymka1"/>
    <w:basedOn w:val="Normal"/>
    <w:qFormat/>
    <w:rsid w:val="00670658"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rsid w:val="00670658"/>
    <w:pPr>
      <w:suppressLineNumbers/>
    </w:pPr>
    <w:rPr/>
  </w:style>
  <w:style w:type="paragraph" w:styleId="Tekstdymka2" w:customStyle="1">
    <w:name w:val="Tekst dymka2"/>
    <w:basedOn w:val="Normal"/>
    <w:qFormat/>
    <w:rsid w:val="00670658"/>
    <w:pPr/>
    <w:rPr>
      <w:rFonts w:ascii="Tahoma" w:hAnsi="Tahoma" w:cs="Tahoma"/>
      <w:sz w:val="16"/>
      <w:szCs w:val="16"/>
    </w:rPr>
  </w:style>
  <w:style w:type="paragraph" w:styleId="Nagwkitablic" w:customStyle="1">
    <w:name w:val="Nagłówki tablic"/>
    <w:basedOn w:val="BodyText"/>
    <w:qFormat/>
    <w:rsid w:val="00670658"/>
    <w:pPr>
      <w:widowControl/>
      <w:tabs>
        <w:tab w:val="clear" w:pos="708"/>
        <w:tab w:val="left" w:pos="-5814" w:leader="none"/>
      </w:tabs>
      <w:suppressAutoHyphens w:val="false"/>
      <w:overflowPunct w:val="true"/>
      <w:spacing w:before="0" w:after="0"/>
      <w:jc w:val="center"/>
      <w:textAlignment w:val="baseline"/>
    </w:pPr>
    <w:rPr>
      <w:b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065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181ed8"/>
    <w:pPr>
      <w:spacing w:before="0" w:after="0"/>
      <w:ind w:hanging="0" w:left="720"/>
      <w:contextualSpacing/>
    </w:pPr>
    <w:rPr>
      <w:rFonts w:cs="Mangal"/>
      <w:szCs w:val="21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55b23"/>
    <w:pPr/>
    <w:rPr>
      <w:rFonts w:cs="Mangal"/>
      <w:sz w:val="20"/>
      <w:szCs w:val="18"/>
    </w:rPr>
  </w:style>
  <w:style w:type="paragraph" w:styleId="TekstLiteratura" w:customStyle="1">
    <w:name w:val="Tekst Literatura"/>
    <w:basedOn w:val="Normal"/>
    <w:uiPriority w:val="99"/>
    <w:qFormat/>
    <w:rsid w:val="0067630d"/>
    <w:pPr>
      <w:widowControl/>
      <w:numPr>
        <w:ilvl w:val="0"/>
        <w:numId w:val="1"/>
      </w:numPr>
      <w:suppressAutoHyphens w:val="false"/>
    </w:pPr>
    <w:rPr>
      <w:rFonts w:ascii="Times New Roman" w:hAnsi="Times New Roman" w:eastAsia="Times New Roman" w:cs="Times New Roman"/>
      <w:kern w:val="0"/>
      <w:sz w:val="20"/>
      <w:lang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Application>LibreOffice/24.2.6.2$Linux_X86_64 LibreOffice_project/420$Build-2</Application>
  <AppVersion>15.0000</AppVersion>
  <Pages>6</Pages>
  <Words>1258</Words>
  <Characters>8340</Characters>
  <CharactersWithSpaces>9542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2022-01-14T21:56:00Z</dcterms:created>
  <dc:creator>Zbigniew Liber</dc:creator>
  <dc:description/>
  <dc:language>pl-PL</dc:language>
  <cp:lastModifiedBy/>
  <dcterms:modified xsi:type="dcterms:W3CDTF">2024-10-29T09:28:43Z</dcterms:modified>
  <cp:revision>162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